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F07B" w14:textId="4B5E7332" w:rsidR="00097EC6" w:rsidRDefault="001B723F" w:rsidP="007475EB">
      <w:pPr>
        <w:pStyle w:val="Title"/>
        <w:widowControl w:val="0"/>
        <w:autoSpaceDE w:val="0"/>
        <w:autoSpaceDN w:val="0"/>
        <w:spacing w:before="100" w:beforeAutospacing="1" w:after="100" w:afterAutospacing="1" w:line="276" w:lineRule="auto"/>
        <w:ind w:left="100"/>
        <w:contextualSpacing w:val="0"/>
        <w:jc w:val="center"/>
        <w:rPr>
          <w:rFonts w:ascii="Calibri" w:eastAsia="Trebuchet MS" w:hAnsi="Calibri" w:cs="Calibri"/>
          <w:bCs/>
          <w:color w:val="006FC0"/>
          <w:spacing w:val="0"/>
          <w:w w:val="85"/>
          <w:kern w:val="0"/>
          <w:sz w:val="28"/>
          <w:szCs w:val="28"/>
          <w:lang w:eastAsia="en-US"/>
        </w:rPr>
      </w:pPr>
      <w:r w:rsidRPr="00097EC6">
        <w:rPr>
          <w:rFonts w:ascii="Calibri" w:eastAsia="Trebuchet MS" w:hAnsi="Calibri" w:cs="Calibri"/>
          <w:bCs/>
          <w:color w:val="006FC0"/>
          <w:spacing w:val="0"/>
          <w:w w:val="85"/>
          <w:kern w:val="0"/>
          <w:sz w:val="28"/>
          <w:szCs w:val="28"/>
          <w:lang w:eastAsia="en-US"/>
        </w:rPr>
        <w:t>Terms of Reference</w:t>
      </w:r>
    </w:p>
    <w:p w14:paraId="1D97640A" w14:textId="7988B313" w:rsidR="00134ACF" w:rsidRDefault="009310AC" w:rsidP="007475EB">
      <w:pPr>
        <w:pStyle w:val="Title"/>
        <w:widowControl w:val="0"/>
        <w:autoSpaceDE w:val="0"/>
        <w:autoSpaceDN w:val="0"/>
        <w:spacing w:before="100" w:beforeAutospacing="1" w:after="100" w:afterAutospacing="1" w:line="276" w:lineRule="auto"/>
        <w:ind w:firstLine="100"/>
        <w:contextualSpacing w:val="0"/>
        <w:jc w:val="center"/>
        <w:rPr>
          <w:rFonts w:ascii="Calibri" w:eastAsia="Trebuchet MS" w:hAnsi="Calibri" w:cs="Calibri"/>
          <w:bCs/>
          <w:color w:val="006FC0"/>
          <w:spacing w:val="0"/>
          <w:w w:val="85"/>
          <w:kern w:val="0"/>
          <w:sz w:val="28"/>
          <w:szCs w:val="28"/>
          <w:lang w:eastAsia="en-US"/>
        </w:rPr>
      </w:pPr>
      <w:r>
        <w:rPr>
          <w:rFonts w:ascii="Calibri" w:eastAsia="Trebuchet MS" w:hAnsi="Calibri" w:cs="Calibri"/>
          <w:bCs/>
          <w:color w:val="006FC0"/>
          <w:spacing w:val="0"/>
          <w:w w:val="85"/>
          <w:kern w:val="0"/>
          <w:sz w:val="28"/>
          <w:szCs w:val="28"/>
          <w:lang w:eastAsia="en-US"/>
        </w:rPr>
        <w:t>Land &amp; Tropical Forest Expert</w:t>
      </w:r>
      <w:r w:rsidR="00134ACF" w:rsidRPr="007475EB">
        <w:rPr>
          <w:rFonts w:ascii="Calibri" w:eastAsia="Trebuchet MS" w:hAnsi="Calibri" w:cs="Calibri"/>
          <w:bCs/>
          <w:color w:val="006FC0"/>
          <w:spacing w:val="0"/>
          <w:w w:val="85"/>
          <w:kern w:val="0"/>
          <w:sz w:val="28"/>
          <w:szCs w:val="28"/>
          <w:lang w:eastAsia="en-US"/>
        </w:rPr>
        <w:t xml:space="preserve"> </w:t>
      </w:r>
      <w:r w:rsidR="00097EFF">
        <w:rPr>
          <w:rFonts w:ascii="Calibri" w:eastAsia="Trebuchet MS" w:hAnsi="Calibri" w:cs="Calibri"/>
          <w:bCs/>
          <w:color w:val="006FC0"/>
          <w:spacing w:val="0"/>
          <w:w w:val="85"/>
          <w:kern w:val="0"/>
          <w:sz w:val="28"/>
          <w:szCs w:val="28"/>
          <w:lang w:eastAsia="en-US"/>
        </w:rPr>
        <w:t>(</w:t>
      </w:r>
      <w:r>
        <w:rPr>
          <w:rFonts w:ascii="Calibri" w:eastAsia="Trebuchet MS" w:hAnsi="Calibri" w:cs="Calibri"/>
          <w:bCs/>
          <w:color w:val="006FC0"/>
          <w:spacing w:val="0"/>
          <w:w w:val="85"/>
          <w:kern w:val="0"/>
          <w:sz w:val="28"/>
          <w:szCs w:val="28"/>
          <w:lang w:eastAsia="en-US"/>
        </w:rPr>
        <w:t>L</w:t>
      </w:r>
      <w:r w:rsidR="00097EFF">
        <w:rPr>
          <w:rFonts w:ascii="Calibri" w:eastAsia="Trebuchet MS" w:hAnsi="Calibri" w:cs="Calibri"/>
          <w:bCs/>
          <w:color w:val="006FC0"/>
          <w:spacing w:val="0"/>
          <w:w w:val="85"/>
          <w:kern w:val="0"/>
          <w:sz w:val="28"/>
          <w:szCs w:val="28"/>
          <w:lang w:eastAsia="en-US"/>
        </w:rPr>
        <w:t>ao</w:t>
      </w:r>
      <w:r>
        <w:rPr>
          <w:rFonts w:ascii="Calibri" w:eastAsia="Trebuchet MS" w:hAnsi="Calibri" w:cs="Calibri"/>
          <w:bCs/>
          <w:color w:val="006FC0"/>
          <w:spacing w:val="0"/>
          <w:w w:val="85"/>
          <w:kern w:val="0"/>
          <w:sz w:val="28"/>
          <w:szCs w:val="28"/>
          <w:lang w:eastAsia="en-US"/>
        </w:rPr>
        <w:t xml:space="preserve"> PDR</w:t>
      </w:r>
      <w:r w:rsidR="00097EFF">
        <w:rPr>
          <w:rFonts w:ascii="Calibri" w:eastAsia="Trebuchet MS" w:hAnsi="Calibri" w:cs="Calibri"/>
          <w:bCs/>
          <w:color w:val="006FC0"/>
          <w:spacing w:val="0"/>
          <w:w w:val="85"/>
          <w:kern w:val="0"/>
          <w:sz w:val="28"/>
          <w:szCs w:val="28"/>
          <w:lang w:eastAsia="en-US"/>
        </w:rPr>
        <w:t>)</w:t>
      </w:r>
    </w:p>
    <w:p w14:paraId="644618FA" w14:textId="27715B5A" w:rsidR="00B6020D" w:rsidRDefault="00B6020D" w:rsidP="00B6020D">
      <w:r w:rsidRPr="00B6020D">
        <w:rPr>
          <w:b/>
          <w:bCs/>
        </w:rPr>
        <w:t>Project:</w:t>
      </w:r>
      <w:r>
        <w:t xml:space="preserve"> </w:t>
      </w:r>
      <w:r w:rsidR="00AE68AF" w:rsidRPr="3E8DADA6">
        <w:rPr>
          <w:rFonts w:eastAsia="Verdana" w:cstheme="majorBidi"/>
          <w:lang w:val="en-US" w:eastAsia="en-US"/>
        </w:rPr>
        <w:t>Preparation of a Transboundary Diagnostic Analysis (TDA)</w:t>
      </w:r>
    </w:p>
    <w:p w14:paraId="56F9EDF8" w14:textId="033AB193" w:rsidR="00B6020D" w:rsidRDefault="00B6020D" w:rsidP="00B6020D">
      <w:r w:rsidRPr="00B6020D">
        <w:rPr>
          <w:b/>
          <w:bCs/>
        </w:rPr>
        <w:t>Duration:</w:t>
      </w:r>
      <w:r>
        <w:t xml:space="preserve"> </w:t>
      </w:r>
      <w:r w:rsidR="00EE46C3">
        <w:t xml:space="preserve">20 May </w:t>
      </w:r>
      <w:r w:rsidR="006D2A26">
        <w:t>–</w:t>
      </w:r>
      <w:r w:rsidR="00EE46C3">
        <w:t xml:space="preserve"> </w:t>
      </w:r>
      <w:r w:rsidR="006D2A26">
        <w:t>31 Dec 2025</w:t>
      </w:r>
    </w:p>
    <w:p w14:paraId="352254EC" w14:textId="7AE1802E" w:rsidR="00B6020D" w:rsidRPr="00B6020D" w:rsidRDefault="00B6020D" w:rsidP="00B6020D">
      <w:r w:rsidRPr="00B6020D">
        <w:rPr>
          <w:b/>
          <w:bCs/>
        </w:rPr>
        <w:t>Location:</w:t>
      </w:r>
      <w:r>
        <w:t xml:space="preserve"> Lao PDR (Vientiane City, </w:t>
      </w:r>
      <w:proofErr w:type="spellStart"/>
      <w:r>
        <w:t>Houaphanh</w:t>
      </w:r>
      <w:proofErr w:type="spellEnd"/>
      <w:r>
        <w:t xml:space="preserve"> and </w:t>
      </w:r>
      <w:proofErr w:type="spellStart"/>
      <w:r>
        <w:t>Xiangkhouang</w:t>
      </w:r>
      <w:proofErr w:type="spellEnd"/>
      <w:r>
        <w:t xml:space="preserve"> Provinces)</w:t>
      </w:r>
    </w:p>
    <w:p w14:paraId="5C385F3D" w14:textId="73F6F167" w:rsidR="001B723F" w:rsidRPr="00AD0FDA" w:rsidRDefault="001B723F" w:rsidP="00097EC6">
      <w:pPr>
        <w:pStyle w:val="Title"/>
        <w:widowControl w:val="0"/>
        <w:autoSpaceDE w:val="0"/>
        <w:autoSpaceDN w:val="0"/>
        <w:spacing w:before="100" w:beforeAutospacing="1" w:after="100" w:afterAutospacing="1" w:line="276" w:lineRule="auto"/>
        <w:ind w:left="100"/>
        <w:contextualSpacing w:val="0"/>
        <w:jc w:val="both"/>
        <w:rPr>
          <w:rFonts w:ascii="Calibri" w:eastAsia="Trebuchet MS" w:hAnsi="Calibri" w:cs="Calibri"/>
          <w:bCs/>
          <w:color w:val="006FC0"/>
          <w:spacing w:val="0"/>
          <w:w w:val="85"/>
          <w:kern w:val="0"/>
          <w:sz w:val="28"/>
          <w:szCs w:val="28"/>
          <w:lang w:eastAsia="en-US"/>
        </w:rPr>
      </w:pPr>
      <w:r w:rsidRPr="00AD0FDA">
        <w:rPr>
          <w:rFonts w:ascii="Calibri" w:eastAsia="Trebuchet MS" w:hAnsi="Calibri" w:cs="Calibri"/>
          <w:bCs/>
          <w:color w:val="006FC0"/>
          <w:spacing w:val="0"/>
          <w:w w:val="85"/>
          <w:kern w:val="0"/>
          <w:sz w:val="28"/>
          <w:szCs w:val="28"/>
          <w:lang w:eastAsia="en-US"/>
        </w:rPr>
        <w:t>1. Background</w:t>
      </w:r>
    </w:p>
    <w:p w14:paraId="32300F2A" w14:textId="77777777" w:rsidR="00103799" w:rsidRPr="00AD0FDA" w:rsidRDefault="00103799" w:rsidP="00AD0FDA">
      <w:pPr>
        <w:pStyle w:val="Title"/>
        <w:widowControl w:val="0"/>
        <w:autoSpaceDE w:val="0"/>
        <w:autoSpaceDN w:val="0"/>
        <w:spacing w:before="100" w:beforeAutospacing="1" w:after="100" w:afterAutospacing="1" w:line="276" w:lineRule="auto"/>
        <w:ind w:firstLine="100"/>
        <w:contextualSpacing w:val="0"/>
        <w:jc w:val="both"/>
        <w:rPr>
          <w:rFonts w:ascii="Calibri" w:eastAsia="Trebuchet MS" w:hAnsi="Calibri" w:cs="Calibri"/>
          <w:bCs/>
          <w:color w:val="006FC0"/>
          <w:spacing w:val="0"/>
          <w:w w:val="85"/>
          <w:kern w:val="0"/>
          <w:sz w:val="28"/>
          <w:szCs w:val="28"/>
          <w:lang w:eastAsia="en-US"/>
        </w:rPr>
      </w:pPr>
      <w:r w:rsidRPr="00AD0FDA">
        <w:rPr>
          <w:rFonts w:ascii="Calibri" w:eastAsia="Trebuchet MS" w:hAnsi="Calibri" w:cs="Calibri"/>
          <w:bCs/>
          <w:color w:val="006FC0"/>
          <w:spacing w:val="0"/>
          <w:w w:val="85"/>
          <w:kern w:val="0"/>
          <w:sz w:val="28"/>
          <w:szCs w:val="28"/>
          <w:lang w:eastAsia="en-US"/>
        </w:rPr>
        <w:t>About SNV</w:t>
      </w:r>
    </w:p>
    <w:p w14:paraId="78C28237" w14:textId="77777777" w:rsidR="00103799" w:rsidRPr="00AD0FDA" w:rsidRDefault="00103799" w:rsidP="00AD0FDA">
      <w:pPr>
        <w:pStyle w:val="BodyText"/>
        <w:spacing w:before="120" w:after="120"/>
        <w:ind w:left="100"/>
        <w:jc w:val="both"/>
        <w:rPr>
          <w:rFonts w:cstheme="majorBidi"/>
        </w:rPr>
      </w:pPr>
      <w:r w:rsidRPr="00926C7D">
        <w:rPr>
          <w:rFonts w:cstheme="majorBidi"/>
        </w:rPr>
        <w:t>SNV is a global development partner, deeply rooted in the countries where we operate. We are driven by a vision of a better world: A world where across every society all people live with dignity and have equitable opportunities to thrive sustainably.</w:t>
      </w:r>
      <w:r w:rsidRPr="00AD0FDA">
        <w:rPr>
          <w:rFonts w:cstheme="majorBidi"/>
        </w:rPr>
        <w:t> </w:t>
      </w:r>
    </w:p>
    <w:p w14:paraId="590A6E84" w14:textId="77777777" w:rsidR="00103799" w:rsidRPr="00926C7D" w:rsidRDefault="00103799" w:rsidP="00AD0FDA">
      <w:pPr>
        <w:pStyle w:val="BodyText"/>
        <w:spacing w:before="120" w:after="120"/>
        <w:ind w:left="100"/>
        <w:jc w:val="both"/>
        <w:rPr>
          <w:rFonts w:cstheme="majorBidi"/>
        </w:rPr>
      </w:pPr>
      <w:r w:rsidRPr="00926C7D">
        <w:rPr>
          <w:rFonts w:cstheme="majorBidi"/>
        </w:rPr>
        <w:t xml:space="preserve">To make this vision a reality, we need transformations in vital agri-food, energy, and water systems. SNV contributes by strengthening capacities and </w:t>
      </w:r>
      <w:proofErr w:type="spellStart"/>
      <w:r w:rsidRPr="00926C7D">
        <w:rPr>
          <w:rFonts w:cstheme="majorBidi"/>
        </w:rPr>
        <w:t>catalysing</w:t>
      </w:r>
      <w:proofErr w:type="spellEnd"/>
      <w:r w:rsidRPr="00926C7D">
        <w:rPr>
          <w:rFonts w:cstheme="majorBidi"/>
        </w:rPr>
        <w:t xml:space="preserve"> partnerships in these sectors. We help strengthen institutions and effective governance, reduce gender inequalities and barriers to social inclusion, and enable adaptation and mitigation to the climate and biodiversity crises. </w:t>
      </w:r>
    </w:p>
    <w:p w14:paraId="79AA8471" w14:textId="4043F304" w:rsidR="001B723F" w:rsidRPr="00AD0FDA" w:rsidRDefault="00103799" w:rsidP="008809DD">
      <w:pPr>
        <w:pStyle w:val="BodyText"/>
        <w:spacing w:before="120" w:after="120"/>
        <w:ind w:left="100"/>
        <w:jc w:val="both"/>
        <w:rPr>
          <w:rFonts w:cstheme="majorBidi"/>
        </w:rPr>
      </w:pPr>
      <w:r w:rsidRPr="00926C7D">
        <w:rPr>
          <w:rFonts w:cstheme="majorBidi"/>
        </w:rPr>
        <w:t xml:space="preserve">Building on 60 years of experience we support our partners with our technical and process expertise and methodological rigor. We do this in more than 20 countries in Africa and Asia with a team of approximately 1,600 colleagues. By being adaptable and tailoring our approaches to these different contexts, we can contribute to impact at scale, resulting in more equitable lives for all. SNV has been working in </w:t>
      </w:r>
      <w:r w:rsidR="002B463B">
        <w:rPr>
          <w:rFonts w:cstheme="majorBidi"/>
        </w:rPr>
        <w:t xml:space="preserve">Lao PDR </w:t>
      </w:r>
      <w:r w:rsidRPr="00926C7D">
        <w:rPr>
          <w:rFonts w:cstheme="majorBidi"/>
        </w:rPr>
        <w:t>since 199</w:t>
      </w:r>
      <w:r w:rsidR="002B463B">
        <w:rPr>
          <w:rFonts w:cstheme="majorBidi"/>
        </w:rPr>
        <w:t>4</w:t>
      </w:r>
      <w:r w:rsidR="008809DD">
        <w:rPr>
          <w:rFonts w:cstheme="majorBidi"/>
        </w:rPr>
        <w:t>.</w:t>
      </w:r>
    </w:p>
    <w:p w14:paraId="3A0D7942" w14:textId="26D0502C" w:rsidR="00103799" w:rsidRPr="00AD0FDA" w:rsidRDefault="00103799" w:rsidP="00AD0FDA">
      <w:pPr>
        <w:pStyle w:val="Title"/>
        <w:widowControl w:val="0"/>
        <w:autoSpaceDE w:val="0"/>
        <w:autoSpaceDN w:val="0"/>
        <w:spacing w:before="100" w:beforeAutospacing="1" w:after="100" w:afterAutospacing="1" w:line="276" w:lineRule="auto"/>
        <w:ind w:left="100"/>
        <w:contextualSpacing w:val="0"/>
        <w:jc w:val="both"/>
        <w:rPr>
          <w:rFonts w:ascii="Calibri" w:eastAsia="Trebuchet MS" w:hAnsi="Calibri" w:cs="Calibri"/>
          <w:bCs/>
          <w:color w:val="006FC0"/>
          <w:spacing w:val="0"/>
          <w:w w:val="85"/>
          <w:kern w:val="0"/>
          <w:sz w:val="28"/>
          <w:szCs w:val="28"/>
          <w:lang w:eastAsia="en-US"/>
        </w:rPr>
      </w:pPr>
      <w:r w:rsidRPr="00AD0FDA">
        <w:rPr>
          <w:rFonts w:ascii="Calibri" w:eastAsia="Trebuchet MS" w:hAnsi="Calibri" w:cs="Calibri"/>
          <w:bCs/>
          <w:color w:val="006FC0"/>
          <w:spacing w:val="0"/>
          <w:w w:val="85"/>
          <w:kern w:val="0"/>
          <w:sz w:val="28"/>
          <w:szCs w:val="28"/>
          <w:lang w:eastAsia="en-US"/>
        </w:rPr>
        <w:t>About Project</w:t>
      </w:r>
    </w:p>
    <w:p w14:paraId="61121D7C" w14:textId="632663BB" w:rsidR="002653CF" w:rsidRPr="002653CF" w:rsidRDefault="005348ED" w:rsidP="00CC750F">
      <w:pPr>
        <w:jc w:val="both"/>
        <w:rPr>
          <w:rFonts w:eastAsia="Verdana" w:cstheme="majorBidi"/>
          <w:szCs w:val="18"/>
          <w:lang w:val="en-US" w:eastAsia="en-US"/>
        </w:rPr>
      </w:pPr>
      <w:r w:rsidRPr="005348ED">
        <w:rPr>
          <w:rFonts w:eastAsia="Verdana" w:cstheme="majorBidi"/>
          <w:szCs w:val="18"/>
          <w:lang w:val="en-US" w:eastAsia="en-US"/>
        </w:rPr>
        <w:t>The Ma and Neun/Ca catchments support a large range of biodiverse landscapes and a high number of ecologically distinct and significant sites. This rich network provides all the ecosystem services demanded by over 8.5 million people (2018)</w:t>
      </w:r>
      <w:r w:rsidR="002653CF" w:rsidRPr="002653CF">
        <w:rPr>
          <w:rFonts w:eastAsia="Verdana" w:cstheme="majorBidi"/>
          <w:szCs w:val="18"/>
          <w:lang w:val="en-US" w:eastAsia="en-US"/>
        </w:rPr>
        <w:t xml:space="preserve">. </w:t>
      </w:r>
      <w:r w:rsidR="00843476">
        <w:rPr>
          <w:rFonts w:eastAsia="Verdana" w:cstheme="majorBidi"/>
          <w:szCs w:val="18"/>
          <w:lang w:val="en-US" w:eastAsia="en-US"/>
        </w:rPr>
        <w:t>However, t</w:t>
      </w:r>
      <w:r w:rsidR="00843476" w:rsidRPr="00843476">
        <w:rPr>
          <w:rFonts w:eastAsia="Verdana" w:cstheme="majorBidi"/>
          <w:szCs w:val="18"/>
          <w:lang w:val="en-US" w:eastAsia="en-US"/>
        </w:rPr>
        <w:t>hat whole system is at risk from human pressures and the changing climate</w:t>
      </w:r>
      <w:r w:rsidR="002653CF" w:rsidRPr="002653CF">
        <w:rPr>
          <w:rFonts w:eastAsia="Verdana" w:cstheme="majorBidi"/>
          <w:szCs w:val="18"/>
          <w:lang w:val="en-US" w:eastAsia="en-US"/>
        </w:rPr>
        <w:t xml:space="preserve">. Without urgent intervention, </w:t>
      </w:r>
      <w:r w:rsidR="00BE0D0E" w:rsidRPr="00BE0D0E">
        <w:rPr>
          <w:rFonts w:eastAsia="Verdana" w:cstheme="majorBidi"/>
          <w:szCs w:val="18"/>
          <w:lang w:val="en-US" w:eastAsia="en-US"/>
        </w:rPr>
        <w:t>the equilibrium between the catchments’ renewable resources and the human pressures</w:t>
      </w:r>
      <w:r w:rsidR="002653CF" w:rsidRPr="002653CF">
        <w:rPr>
          <w:rFonts w:eastAsia="Verdana" w:cstheme="majorBidi"/>
          <w:szCs w:val="18"/>
          <w:lang w:val="en-US" w:eastAsia="en-US"/>
        </w:rPr>
        <w:t xml:space="preserve"> will continue to deteriorate.</w:t>
      </w:r>
    </w:p>
    <w:p w14:paraId="0F020EBE" w14:textId="77777777" w:rsidR="002653CF" w:rsidRPr="002653CF" w:rsidRDefault="002653CF" w:rsidP="00CC750F">
      <w:pPr>
        <w:jc w:val="both"/>
        <w:rPr>
          <w:rFonts w:eastAsia="Verdana" w:cstheme="majorBidi"/>
          <w:szCs w:val="18"/>
          <w:lang w:val="en-US" w:eastAsia="en-US"/>
        </w:rPr>
      </w:pPr>
    </w:p>
    <w:p w14:paraId="57F976A5" w14:textId="7A75CD79" w:rsidR="00120260" w:rsidRDefault="002653CF" w:rsidP="211F5497">
      <w:pPr>
        <w:jc w:val="both"/>
        <w:rPr>
          <w:rFonts w:eastAsia="Verdana" w:cstheme="majorBidi"/>
          <w:lang w:eastAsia="en-US"/>
        </w:rPr>
      </w:pPr>
      <w:r w:rsidRPr="3E8DADA6">
        <w:rPr>
          <w:rFonts w:eastAsia="Verdana" w:cstheme="majorBidi"/>
          <w:lang w:val="en-US" w:eastAsia="en-US"/>
        </w:rPr>
        <w:t>The</w:t>
      </w:r>
      <w:r w:rsidR="6FA6778E" w:rsidRPr="3E8DADA6">
        <w:rPr>
          <w:rFonts w:eastAsia="Verdana" w:cstheme="majorBidi"/>
          <w:lang w:val="en-US" w:eastAsia="en-US"/>
        </w:rPr>
        <w:t xml:space="preserve"> "Preparation of a Transboundary Diagnostic Analysis (TDA) and associated studies in Lao PDR and Viet Nam" (IUCN-23-12-P03794-1), under the project "Fostering Water and Environmental Security in the Ma and Neun/Ca Transboundary River Basins and Related Coastal Areas",</w:t>
      </w:r>
      <w:r w:rsidRPr="3E8DADA6">
        <w:rPr>
          <w:rFonts w:eastAsia="Verdana" w:cstheme="majorBidi"/>
          <w:lang w:val="en-US" w:eastAsia="en-US"/>
        </w:rPr>
        <w:t xml:space="preserve"> implemented by SNV in collaboration with the Environment &amp; Ecology Institute (EEI). </w:t>
      </w:r>
      <w:r w:rsidR="00987E38" w:rsidRPr="3E8DADA6">
        <w:rPr>
          <w:rFonts w:eastAsia="Verdana" w:cstheme="majorBidi"/>
          <w:lang w:val="en-US" w:eastAsia="en-US"/>
        </w:rPr>
        <w:t>It focuses on enhancing transboundary cooperation</w:t>
      </w:r>
      <w:r w:rsidR="00D15D7C" w:rsidRPr="3E8DADA6">
        <w:rPr>
          <w:rFonts w:eastAsia="Verdana" w:cstheme="majorBidi"/>
          <w:lang w:val="en-US" w:eastAsia="en-US"/>
        </w:rPr>
        <w:t xml:space="preserve">, </w:t>
      </w:r>
      <w:r w:rsidR="004041E8" w:rsidRPr="3E8DADA6">
        <w:rPr>
          <w:rFonts w:eastAsia="Verdana" w:cstheme="majorBidi"/>
          <w:lang w:eastAsia="en-US"/>
        </w:rPr>
        <w:t>establishing</w:t>
      </w:r>
      <w:r w:rsidR="00D15D7C" w:rsidRPr="3E8DADA6">
        <w:rPr>
          <w:rFonts w:eastAsia="Verdana" w:cstheme="majorBidi"/>
          <w:lang w:val="en-US" w:eastAsia="en-US"/>
        </w:rPr>
        <w:t xml:space="preserve"> river basin management frameworks, </w:t>
      </w:r>
      <w:r w:rsidR="0056777F" w:rsidRPr="3E8DADA6">
        <w:rPr>
          <w:rFonts w:eastAsia="Verdana" w:cstheme="majorBidi"/>
          <w:lang w:eastAsia="en-US"/>
        </w:rPr>
        <w:t>strengthening</w:t>
      </w:r>
      <w:r w:rsidR="00D15D7C" w:rsidRPr="3E8DADA6">
        <w:rPr>
          <w:rFonts w:eastAsia="Verdana" w:cstheme="majorBidi"/>
          <w:lang w:val="en-US" w:eastAsia="en-US"/>
        </w:rPr>
        <w:t xml:space="preserve"> water and environmental security and</w:t>
      </w:r>
      <w:r w:rsidR="0056777F" w:rsidRPr="3E8DADA6">
        <w:rPr>
          <w:rFonts w:eastAsia="Verdana" w:cstheme="majorBidi"/>
          <w:lang w:eastAsia="en-US"/>
        </w:rPr>
        <w:t xml:space="preserve"> promoting</w:t>
      </w:r>
      <w:r w:rsidR="001D0E91" w:rsidRPr="3E8DADA6">
        <w:rPr>
          <w:rFonts w:eastAsia="Verdana" w:cstheme="majorBidi"/>
          <w:lang w:eastAsia="en-US"/>
        </w:rPr>
        <w:t xml:space="preserve"> </w:t>
      </w:r>
      <w:r w:rsidR="00D15D7C" w:rsidRPr="3E8DADA6">
        <w:rPr>
          <w:rFonts w:eastAsia="Verdana" w:cstheme="majorBidi"/>
          <w:lang w:val="en-US" w:eastAsia="en-US"/>
        </w:rPr>
        <w:t>gender equality</w:t>
      </w:r>
      <w:r w:rsidR="1BED1D86" w:rsidRPr="3E8DADA6">
        <w:rPr>
          <w:rFonts w:eastAsia="Verdana" w:cstheme="majorBidi"/>
          <w:lang w:eastAsia="en-US"/>
        </w:rPr>
        <w:t>.</w:t>
      </w:r>
    </w:p>
    <w:p w14:paraId="111B2508" w14:textId="77777777" w:rsidR="005A0C7A" w:rsidRDefault="005A0C7A" w:rsidP="00AA0A90">
      <w:pPr>
        <w:jc w:val="both"/>
      </w:pPr>
    </w:p>
    <w:p w14:paraId="7A1635AD" w14:textId="597DB397" w:rsidR="005A0C7A" w:rsidRDefault="00AA0A90" w:rsidP="005A0C7A">
      <w:pPr>
        <w:jc w:val="both"/>
        <w:rPr>
          <w:rFonts w:eastAsia="Verdana" w:cstheme="majorBidi"/>
          <w:lang w:eastAsia="en-US"/>
        </w:rPr>
      </w:pPr>
      <w:r>
        <w:t xml:space="preserve">As part of the Transboundary Diagnostic Analysis (TDA), SNV is seeking a national expert consultant to </w:t>
      </w:r>
      <w:r w:rsidR="005A0C7A">
        <w:rPr>
          <w:rFonts w:eastAsia="Verdana" w:cstheme="majorBidi"/>
          <w:lang w:eastAsia="en-US"/>
        </w:rPr>
        <w:t>p</w:t>
      </w:r>
      <w:r w:rsidR="005A0C7A" w:rsidRPr="00252135">
        <w:rPr>
          <w:rFonts w:eastAsia="Verdana" w:cstheme="majorBidi"/>
          <w:lang w:eastAsia="en-US"/>
        </w:rPr>
        <w:t xml:space="preserve">rovide technical inputs, analysis and contribute to the development of </w:t>
      </w:r>
      <w:r w:rsidR="001A0DA8">
        <w:t>five interconnected assessments for the Lao sections of both river catchments:</w:t>
      </w:r>
    </w:p>
    <w:p w14:paraId="075891BB" w14:textId="23F04202" w:rsidR="00AA0A90" w:rsidRDefault="00AA0A90" w:rsidP="00AA0A90">
      <w:pPr>
        <w:jc w:val="both"/>
      </w:pPr>
    </w:p>
    <w:p w14:paraId="6BDB63B6" w14:textId="77777777" w:rsidR="00AA0A90" w:rsidRDefault="00AA0A90" w:rsidP="00AA0A90">
      <w:pPr>
        <w:ind w:left="708"/>
      </w:pPr>
      <w:r>
        <w:t>1. Ecosystem governance</w:t>
      </w:r>
    </w:p>
    <w:p w14:paraId="5A8D2079" w14:textId="77777777" w:rsidR="00AA0A90" w:rsidRDefault="00AA0A90" w:rsidP="00AA0A90">
      <w:pPr>
        <w:ind w:left="708"/>
      </w:pPr>
      <w:r>
        <w:t>2. Land-use</w:t>
      </w:r>
    </w:p>
    <w:p w14:paraId="73239666" w14:textId="77777777" w:rsidR="00AA0A90" w:rsidRDefault="00AA0A90" w:rsidP="00AA0A90">
      <w:pPr>
        <w:ind w:left="708"/>
      </w:pPr>
      <w:r>
        <w:t>3. Deforestation and the driving factors</w:t>
      </w:r>
    </w:p>
    <w:p w14:paraId="374DBC18" w14:textId="77777777" w:rsidR="00AA0A90" w:rsidRDefault="00AA0A90" w:rsidP="00AA0A90">
      <w:pPr>
        <w:ind w:left="708"/>
      </w:pPr>
      <w:r>
        <w:t>4. Current hazards and risks</w:t>
      </w:r>
    </w:p>
    <w:p w14:paraId="6FEE1C75" w14:textId="3C35B412" w:rsidR="00AA0A90" w:rsidRDefault="00AA0A90" w:rsidP="00AA0A90">
      <w:pPr>
        <w:ind w:left="708"/>
      </w:pPr>
      <w:r>
        <w:t>5. Current ecological status</w:t>
      </w:r>
    </w:p>
    <w:p w14:paraId="1D0FC335" w14:textId="77777777" w:rsidR="00FA4334" w:rsidRDefault="00FA4334" w:rsidP="00AA0A90">
      <w:pPr>
        <w:ind w:left="708"/>
      </w:pPr>
    </w:p>
    <w:p w14:paraId="4D3B86BC" w14:textId="53211507" w:rsidR="00E26BBE" w:rsidRPr="009B5D1F" w:rsidRDefault="00E26BBE" w:rsidP="211F5497">
      <w:pPr>
        <w:jc w:val="both"/>
        <w:rPr>
          <w:rFonts w:eastAsia="Verdana" w:cstheme="majorBidi"/>
          <w:lang w:eastAsia="en-US"/>
        </w:rPr>
      </w:pPr>
      <w:r>
        <w:lastRenderedPageBreak/>
        <w:t xml:space="preserve">This consultancy will support the generation of Thematic Reports that inform a harmonised, evidence-based understanding of key environmental and socio-economic issues across the two </w:t>
      </w:r>
      <w:proofErr w:type="gramStart"/>
      <w:r>
        <w:t>catchments</w:t>
      </w:r>
      <w:r w:rsidR="00417C8A">
        <w:t xml:space="preserve">, </w:t>
      </w:r>
      <w:r w:rsidR="00417C8A" w:rsidRPr="00417C8A">
        <w:rPr>
          <w:rFonts w:eastAsia="Verdana" w:cstheme="majorBidi"/>
          <w:lang w:eastAsia="en-US"/>
        </w:rPr>
        <w:t xml:space="preserve"> </w:t>
      </w:r>
      <w:r w:rsidR="00417C8A" w:rsidRPr="00252135">
        <w:rPr>
          <w:rFonts w:eastAsia="Verdana" w:cstheme="majorBidi"/>
          <w:lang w:eastAsia="en-US"/>
        </w:rPr>
        <w:t>particularly</w:t>
      </w:r>
      <w:proofErr w:type="gramEnd"/>
      <w:r w:rsidR="00417C8A" w:rsidRPr="00252135">
        <w:rPr>
          <w:rFonts w:eastAsia="Verdana" w:cstheme="majorBidi"/>
          <w:lang w:eastAsia="en-US"/>
        </w:rPr>
        <w:t xml:space="preserve"> on assessing the forest and land (deforestation) impacts for Lao PDR, while supporting on the facilitation of the TDA process</w:t>
      </w:r>
      <w:r w:rsidR="00417C8A">
        <w:rPr>
          <w:rFonts w:eastAsia="Verdana" w:cstheme="majorBidi"/>
          <w:lang w:eastAsia="en-US"/>
        </w:rPr>
        <w:t>.</w:t>
      </w:r>
    </w:p>
    <w:p w14:paraId="56B734C3" w14:textId="6EEE4C38" w:rsidR="3E8DADA6" w:rsidRDefault="3E8DADA6" w:rsidP="3E8DADA6">
      <w:pPr>
        <w:jc w:val="both"/>
        <w:rPr>
          <w:rFonts w:eastAsia="Verdana" w:cstheme="majorBidi"/>
          <w:lang w:eastAsia="en-US"/>
        </w:rPr>
      </w:pPr>
    </w:p>
    <w:p w14:paraId="547DD35D" w14:textId="0052B900" w:rsidR="00120260" w:rsidRDefault="00507412" w:rsidP="00AD0FDA">
      <w:pPr>
        <w:pStyle w:val="Title"/>
        <w:widowControl w:val="0"/>
        <w:autoSpaceDE w:val="0"/>
        <w:autoSpaceDN w:val="0"/>
        <w:spacing w:before="100" w:beforeAutospacing="1" w:after="100" w:afterAutospacing="1" w:line="276" w:lineRule="auto"/>
        <w:ind w:left="100"/>
        <w:contextualSpacing w:val="0"/>
        <w:jc w:val="both"/>
        <w:rPr>
          <w:rFonts w:ascii="Calibri" w:eastAsia="Trebuchet MS" w:hAnsi="Calibri" w:cs="Calibri"/>
          <w:bCs/>
          <w:color w:val="006FC0"/>
          <w:spacing w:val="0"/>
          <w:w w:val="85"/>
          <w:kern w:val="0"/>
          <w:sz w:val="28"/>
          <w:szCs w:val="28"/>
          <w:lang w:eastAsia="en-US"/>
        </w:rPr>
      </w:pPr>
      <w:r>
        <w:rPr>
          <w:rFonts w:ascii="Calibri" w:eastAsia="Trebuchet MS" w:hAnsi="Calibri" w:cs="Calibri"/>
          <w:bCs/>
          <w:color w:val="006FC0"/>
          <w:spacing w:val="0"/>
          <w:w w:val="85"/>
          <w:kern w:val="0"/>
          <w:sz w:val="28"/>
          <w:szCs w:val="28"/>
          <w:lang w:eastAsia="en-US"/>
        </w:rPr>
        <w:t>2</w:t>
      </w:r>
      <w:r w:rsidR="00120260" w:rsidRPr="00AD0FDA">
        <w:rPr>
          <w:rFonts w:ascii="Calibri" w:eastAsia="Trebuchet MS" w:hAnsi="Calibri" w:cs="Calibri"/>
          <w:bCs/>
          <w:color w:val="006FC0"/>
          <w:spacing w:val="0"/>
          <w:w w:val="85"/>
          <w:kern w:val="0"/>
          <w:sz w:val="28"/>
          <w:szCs w:val="28"/>
          <w:lang w:eastAsia="en-US"/>
        </w:rPr>
        <w:t xml:space="preserve">. </w:t>
      </w:r>
      <w:r w:rsidR="008F0106">
        <w:rPr>
          <w:rFonts w:ascii="Calibri" w:eastAsia="Trebuchet MS" w:hAnsi="Calibri" w:cs="Calibri"/>
          <w:bCs/>
          <w:color w:val="006FC0"/>
          <w:spacing w:val="0"/>
          <w:w w:val="85"/>
          <w:kern w:val="0"/>
          <w:sz w:val="28"/>
          <w:szCs w:val="28"/>
          <w:lang w:eastAsia="en-US"/>
        </w:rPr>
        <w:t>Scope of work</w:t>
      </w:r>
    </w:p>
    <w:p w14:paraId="1926B04C" w14:textId="0E567A67" w:rsidR="00084E8D" w:rsidRDefault="00860C0B" w:rsidP="00084E8D">
      <w:r w:rsidRPr="00860C0B">
        <w:t>The Land &amp; Tropical Forest Expert is expected to undertake the work to deliver the Laos proportion for 5 of the interconnected assessments</w:t>
      </w:r>
      <w:r w:rsidR="00403D0A">
        <w:t xml:space="preserve"> and </w:t>
      </w:r>
      <w:r w:rsidR="00084E8D">
        <w:t>will support the data needs assessment and gap analysis, identify</w:t>
      </w:r>
      <w:r w:rsidR="00084E8D" w:rsidRPr="00A072FC">
        <w:t xml:space="preserve"> data requirements and</w:t>
      </w:r>
      <w:r w:rsidR="00084E8D">
        <w:t xml:space="preserve"> plan</w:t>
      </w:r>
      <w:r w:rsidR="00084E8D" w:rsidRPr="00A072FC">
        <w:t xml:space="preserve"> a </w:t>
      </w:r>
      <w:r w:rsidR="00084E8D">
        <w:t xml:space="preserve">data </w:t>
      </w:r>
      <w:r w:rsidR="00084E8D" w:rsidRPr="00A072FC">
        <w:t>collection methodology</w:t>
      </w:r>
      <w:r w:rsidR="00084E8D">
        <w:t xml:space="preserve">, </w:t>
      </w:r>
      <w:r w:rsidR="00084E8D" w:rsidRPr="00A072FC">
        <w:t xml:space="preserve">obtain data from government organizations and other providers collate and </w:t>
      </w:r>
      <w:r w:rsidR="00084E8D">
        <w:t xml:space="preserve">support the </w:t>
      </w:r>
      <w:r w:rsidR="00084E8D" w:rsidRPr="00A072FC">
        <w:t>evaluat</w:t>
      </w:r>
      <w:r w:rsidR="00084E8D">
        <w:t>ion</w:t>
      </w:r>
      <w:r w:rsidR="00084E8D" w:rsidRPr="00A072FC">
        <w:t xml:space="preserve"> all available data </w:t>
      </w:r>
      <w:r w:rsidR="00084E8D">
        <w:t>for the two catchments for the following assessments:</w:t>
      </w:r>
    </w:p>
    <w:p w14:paraId="7C461E62" w14:textId="5B65EDE5" w:rsidR="00084E8D" w:rsidRPr="00BF3CFA" w:rsidRDefault="00084E8D" w:rsidP="00084E8D">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rPr>
          <w:sz w:val="18"/>
          <w:szCs w:val="28"/>
        </w:rPr>
      </w:pPr>
      <w:r w:rsidRPr="00BF3CFA">
        <w:rPr>
          <w:sz w:val="18"/>
          <w:szCs w:val="28"/>
        </w:rPr>
        <w:t>Ecosystem Governance: Review national and local</w:t>
      </w:r>
      <w:r w:rsidR="00AE68AF" w:rsidRPr="00BF3CFA">
        <w:rPr>
          <w:sz w:val="18"/>
          <w:szCs w:val="28"/>
        </w:rPr>
        <w:t xml:space="preserve"> land and</w:t>
      </w:r>
      <w:r w:rsidRPr="00BF3CFA">
        <w:rPr>
          <w:sz w:val="18"/>
          <w:szCs w:val="28"/>
        </w:rPr>
        <w:t xml:space="preserve"> forest management policies, mandates, and protected area categories. Evaluate existing policy instruments related to forest conservation and land-use planning. Assess the design and effectiveness of incentives aimed at increasing forest cover and promoting sustainable and stable agricultural practices.</w:t>
      </w:r>
    </w:p>
    <w:p w14:paraId="2908A072" w14:textId="77777777" w:rsidR="00084E8D" w:rsidRPr="00BF3CFA" w:rsidRDefault="00084E8D" w:rsidP="00084E8D">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rPr>
          <w:sz w:val="18"/>
          <w:szCs w:val="28"/>
        </w:rPr>
      </w:pPr>
      <w:r w:rsidRPr="00BF3CFA">
        <w:rPr>
          <w:sz w:val="18"/>
          <w:szCs w:val="28"/>
        </w:rPr>
        <w:t>Land-use: Clarify the current land-use situation across both catchments, with a focus on tracking and documenting changes in land use, particularly in relation to ongoing and planned irrigation projects. This information is vital for supporting assessments of sedimentation and deforestation trends.</w:t>
      </w:r>
    </w:p>
    <w:p w14:paraId="4AFFFF38" w14:textId="77777777" w:rsidR="00084E8D" w:rsidRPr="00BF3CFA" w:rsidRDefault="00084E8D" w:rsidP="00084E8D">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rPr>
          <w:sz w:val="18"/>
          <w:szCs w:val="28"/>
        </w:rPr>
      </w:pPr>
      <w:r w:rsidRPr="00BF3CFA">
        <w:rPr>
          <w:sz w:val="18"/>
          <w:szCs w:val="28"/>
        </w:rPr>
        <w:t>Deforestation and Drivers: Quantify spatial and temporal trends in deforestation and afforestation using Earth Observation (EO) data. Identify socio-economic and policy drivers through field engagements.</w:t>
      </w:r>
    </w:p>
    <w:p w14:paraId="59EEDDF6" w14:textId="77777777" w:rsidR="00084E8D" w:rsidRPr="00BF3CFA" w:rsidRDefault="00084E8D" w:rsidP="00084E8D">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rPr>
          <w:sz w:val="18"/>
          <w:szCs w:val="28"/>
        </w:rPr>
      </w:pPr>
      <w:r w:rsidRPr="00BF3CFA">
        <w:rPr>
          <w:sz w:val="18"/>
          <w:szCs w:val="28"/>
        </w:rPr>
        <w:t>Hazards and Risks: This component will assess the current hazards and risks posed by extreme events such as floods, droughts, and fires. It will utilise historical data on high and low flow records, combined with topographic GIS tools, to map the spatial extent, duration, and intensity of these events. The aim is to evaluate and understand the resilience and vulnerability of communities and the environment to these risks.</w:t>
      </w:r>
    </w:p>
    <w:p w14:paraId="2A38749E" w14:textId="45556464" w:rsidR="008F0106" w:rsidRPr="00BF3CFA" w:rsidRDefault="00084E8D" w:rsidP="008F0106">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rPr>
          <w:sz w:val="18"/>
          <w:szCs w:val="28"/>
        </w:rPr>
      </w:pPr>
      <w:r w:rsidRPr="00BF3CFA">
        <w:rPr>
          <w:sz w:val="18"/>
          <w:szCs w:val="28"/>
        </w:rPr>
        <w:t>Ecological Status: This component will focus on identifying and assessing the ecological status of key ecosystems and habitats within the catchments. The assessment will examine the fragmentation and connectivity of these habitats, including freshwater lakes, reservoirs, wetlands (both natural and hybrid, connected and isolated), riparian zones, in-stream habitats, coastal lagoons, in-shore fisheries, and shallow marine areas. The assessment will use the land-use data collected during the project and will involve experts, as well as input from S and I on local ecology and conservation efforts.</w:t>
      </w:r>
    </w:p>
    <w:p w14:paraId="4B93FE09" w14:textId="72166C13" w:rsidR="005240ED" w:rsidRPr="00D033AE" w:rsidRDefault="005240ED" w:rsidP="00D033AE">
      <w:pPr>
        <w:pStyle w:val="Title"/>
        <w:widowControl w:val="0"/>
        <w:autoSpaceDE w:val="0"/>
        <w:autoSpaceDN w:val="0"/>
        <w:spacing w:before="100" w:beforeAutospacing="1" w:after="100" w:afterAutospacing="1" w:line="276" w:lineRule="auto"/>
        <w:ind w:left="100"/>
        <w:contextualSpacing w:val="0"/>
        <w:jc w:val="both"/>
        <w:rPr>
          <w:rFonts w:ascii="Calibri" w:eastAsia="Trebuchet MS" w:hAnsi="Calibri" w:cs="Calibri"/>
          <w:bCs/>
          <w:color w:val="006FC0"/>
          <w:spacing w:val="0"/>
          <w:w w:val="85"/>
          <w:kern w:val="0"/>
          <w:sz w:val="28"/>
          <w:szCs w:val="28"/>
          <w:lang w:eastAsia="en-US"/>
        </w:rPr>
      </w:pPr>
      <w:r w:rsidRPr="00D033AE">
        <w:rPr>
          <w:rFonts w:ascii="Calibri" w:eastAsia="Trebuchet MS" w:hAnsi="Calibri" w:cs="Calibri"/>
          <w:bCs/>
          <w:color w:val="006FC0"/>
          <w:spacing w:val="0"/>
          <w:w w:val="85"/>
          <w:kern w:val="0"/>
          <w:sz w:val="28"/>
          <w:szCs w:val="28"/>
          <w:lang w:eastAsia="en-US"/>
        </w:rPr>
        <w:t>3. Methodology</w:t>
      </w:r>
    </w:p>
    <w:p w14:paraId="07857152" w14:textId="77777777" w:rsidR="005240ED" w:rsidRDefault="005240ED" w:rsidP="005240ED">
      <w:r>
        <w:t>All assessments must follow the GEF/FAO TDA methodology, including the Source-to-Sea framework. The consultant will combine desk-based research, spatial analysis (GIS and EO data), stakeholder consultations, and field validation. Engagement with provincial authorities, community members, and relevant government departments will be essential. Analytical tools must include Excel-based water auditing templates and clearly documented spatial datasets.</w:t>
      </w:r>
    </w:p>
    <w:p w14:paraId="2559064C" w14:textId="1481359E" w:rsidR="005240ED" w:rsidRDefault="005240ED" w:rsidP="005240ED">
      <w:pPr>
        <w:pStyle w:val="Heading3"/>
        <w:numPr>
          <w:ilvl w:val="0"/>
          <w:numId w:val="0"/>
        </w:numPr>
        <w:ind w:left="794" w:hanging="794"/>
      </w:pPr>
      <w:r>
        <w:t>3.1. Ecosystem Governance</w:t>
      </w:r>
      <w:r w:rsidR="00546EB3">
        <w:t xml:space="preserve"> </w:t>
      </w:r>
      <w:r w:rsidR="00546EB3" w:rsidRPr="00546EB3">
        <w:t>(sex-disaggregated)</w:t>
      </w:r>
    </w:p>
    <w:p w14:paraId="63534B3A" w14:textId="77777777" w:rsidR="005240ED" w:rsidRDefault="005240ED" w:rsidP="005240ED">
      <w:r>
        <w:t>• Conduct a detailed desktop review of relevant forest governance policies, institutional mandates, and legislative frameworks at national, provincial, and district levels.</w:t>
      </w:r>
      <w:r>
        <w:br/>
        <w:t>• Identify and support the assessment of the effectiveness of protected area categories and land tenure systems.</w:t>
      </w:r>
      <w:r>
        <w:br/>
        <w:t>• Support the evaluation of incentive mechanisms such as Payment for Ecosystem Services (PES), REDD+, and agricultural subsidies.</w:t>
      </w:r>
      <w:r>
        <w:br/>
      </w:r>
      <w:r>
        <w:lastRenderedPageBreak/>
        <w:t>• Conduct stakeholder consultations with forestry authorities, land planners, and community leaders to validate governance arrangements and identify gaps.</w:t>
      </w:r>
      <w:r>
        <w:br/>
        <w:t>• Support the application of the Benefit-Transfer Method to estimate the value of ecosystem services, with reference to the GEF ecosystem valuation guidance.</w:t>
      </w:r>
    </w:p>
    <w:p w14:paraId="0D79E410" w14:textId="5CB3F4A8" w:rsidR="005240ED" w:rsidRDefault="00D033AE" w:rsidP="00D033AE">
      <w:pPr>
        <w:pStyle w:val="Heading3"/>
        <w:numPr>
          <w:ilvl w:val="0"/>
          <w:numId w:val="0"/>
        </w:numPr>
        <w:ind w:left="794" w:hanging="794"/>
      </w:pPr>
      <w:r>
        <w:t>3.</w:t>
      </w:r>
      <w:r w:rsidR="005240ED">
        <w:t>2. Land-use</w:t>
      </w:r>
    </w:p>
    <w:p w14:paraId="182EF42F" w14:textId="77777777" w:rsidR="005240ED" w:rsidRDefault="005240ED" w:rsidP="005240ED">
      <w:r>
        <w:t>• Support the mapping of land-use categories and detect trends over the past 10–15 years.</w:t>
      </w:r>
      <w:r>
        <w:br/>
        <w:t>• Classify land-use according to FAO land-use typologies and relate these to agricultural zoning, infrastructure development, and urbanisation trends.</w:t>
      </w:r>
      <w:r>
        <w:br/>
        <w:t>• Cross-check land-use maps with national land-use plans and reports from provincial authorities.</w:t>
      </w:r>
      <w:r>
        <w:br/>
        <w:t>• Conduct interviews with farmers, local officials, and irrigation scheme managers to understand patterns in land conversion and drivers of change.</w:t>
      </w:r>
      <w:r>
        <w:br/>
        <w:t>• Support the identification of hotspots of land-use change and assess implications for watershed management.</w:t>
      </w:r>
    </w:p>
    <w:p w14:paraId="5C5A75A8" w14:textId="5650A86D" w:rsidR="005240ED" w:rsidRDefault="00D033AE" w:rsidP="00D033AE">
      <w:pPr>
        <w:pStyle w:val="Heading3"/>
        <w:numPr>
          <w:ilvl w:val="0"/>
          <w:numId w:val="0"/>
        </w:numPr>
        <w:ind w:left="794" w:hanging="794"/>
      </w:pPr>
      <w:r>
        <w:t>3.</w:t>
      </w:r>
      <w:r w:rsidR="005240ED">
        <w:t>3. Deforestation and the Driving Factors</w:t>
      </w:r>
      <w:r w:rsidR="00546EB3">
        <w:t xml:space="preserve"> </w:t>
      </w:r>
      <w:r w:rsidR="00546EB3" w:rsidRPr="00546EB3">
        <w:t>(sex-disaggregated)</w:t>
      </w:r>
    </w:p>
    <w:p w14:paraId="15608BEB" w14:textId="77777777" w:rsidR="005240ED" w:rsidRDefault="005240ED" w:rsidP="005240ED">
      <w:r>
        <w:t>• Support the quantification of historical deforestation and afforestation using Earth Observation datasets (e.g., Global Forest Watch, MODIS).</w:t>
      </w:r>
      <w:r>
        <w:br/>
        <w:t>• Support the mapping of spatial extent of forest cover loss, degradation, and regrowth using GIS and classify by forest type.</w:t>
      </w:r>
      <w:r>
        <w:br/>
        <w:t>• Support the analysis of socio-economic, policy, and commercial drivers using structured interviews with Forestry Divisions, logging concession holders, and land management authorities.</w:t>
      </w:r>
      <w:r>
        <w:br/>
        <w:t>• Document local perceptions of deforestation and forest governance through community-level discussions.</w:t>
      </w:r>
      <w:r>
        <w:br/>
        <w:t>• Identify areas of concern where forest loss correlates with land conflicts, agricultural expansion, or infrastructural development.</w:t>
      </w:r>
    </w:p>
    <w:p w14:paraId="33E480B3" w14:textId="5BE3F4CC" w:rsidR="005240ED" w:rsidRDefault="00D033AE" w:rsidP="00D033AE">
      <w:pPr>
        <w:pStyle w:val="Heading3"/>
        <w:numPr>
          <w:ilvl w:val="0"/>
          <w:numId w:val="0"/>
        </w:numPr>
        <w:ind w:left="794" w:hanging="794"/>
      </w:pPr>
      <w:r>
        <w:t>3.</w:t>
      </w:r>
      <w:r w:rsidR="005240ED">
        <w:t>4. Current Hazards and Risks</w:t>
      </w:r>
      <w:r w:rsidR="00EA0043">
        <w:t xml:space="preserve"> </w:t>
      </w:r>
      <w:r w:rsidR="00546EB3" w:rsidRPr="00546EB3">
        <w:t>(sex-disaggregated)</w:t>
      </w:r>
    </w:p>
    <w:p w14:paraId="602A340F" w14:textId="5AB5788F" w:rsidR="005240ED" w:rsidRDefault="005240ED" w:rsidP="005240ED">
      <w:r>
        <w:t xml:space="preserve">• Compile historical data on </w:t>
      </w:r>
      <w:r w:rsidR="00956CC5">
        <w:t>fire</w:t>
      </w:r>
      <w:r>
        <w:t xml:space="preserve"> events from national disaster databases, meteorological records, and local news reports.</w:t>
      </w:r>
      <w:r>
        <w:br/>
        <w:t>• Assess fire occurrence using MODIS fire hotspots and reports from forest authorities.</w:t>
      </w:r>
      <w:r>
        <w:br/>
        <w:t>• Interview village leaders, local officials, and women’s groups to understand risk perception and local coping mechanisms.</w:t>
      </w:r>
      <w:r>
        <w:br/>
        <w:t>• Review existing disaster risk reduction plans and identify strengths, gaps, and opportunities for community-based preparedness.</w:t>
      </w:r>
    </w:p>
    <w:p w14:paraId="4E1C05E8" w14:textId="0EA39F41" w:rsidR="005240ED" w:rsidRDefault="00D033AE" w:rsidP="00D033AE">
      <w:pPr>
        <w:pStyle w:val="Heading3"/>
        <w:numPr>
          <w:ilvl w:val="0"/>
          <w:numId w:val="0"/>
        </w:numPr>
        <w:ind w:left="794" w:hanging="794"/>
      </w:pPr>
      <w:r>
        <w:t>3.</w:t>
      </w:r>
      <w:r w:rsidR="005240ED">
        <w:t>5. Current Ecological Status</w:t>
      </w:r>
    </w:p>
    <w:p w14:paraId="56958CC7" w14:textId="7EDEE734" w:rsidR="009614B5" w:rsidRDefault="005240ED" w:rsidP="00BF3CFA">
      <w:pPr>
        <w:spacing w:after="120"/>
      </w:pPr>
      <w:r>
        <w:t>• Identify key ecosystems and habitat types, including freshwater, terrestrial, and transitional habitats such as wetlands and riparian zones.</w:t>
      </w:r>
      <w:r>
        <w:br/>
        <w:t>• Support the mapping of ecological networks and corridors to determine habitat connectivity and fragmentation.</w:t>
      </w:r>
      <w:r>
        <w:br/>
        <w:t>• Assess biodiversity and ecological function based on criteria such as species richness, habitat integrity, and water quality.</w:t>
      </w:r>
      <w:r>
        <w:br/>
        <w:t xml:space="preserve">•Support the </w:t>
      </w:r>
      <w:r w:rsidR="00890D2A">
        <w:t xml:space="preserve">development </w:t>
      </w:r>
      <w:r>
        <w:t>of ecological classification criteria and apply to generate an ecological status index (Good/Poor) per site.</w:t>
      </w:r>
      <w:r>
        <w:br/>
        <w:t>• Validate ecological conditions with local experts, university partners, and conservation organizations.</w:t>
      </w:r>
      <w:r>
        <w:br/>
        <w:t>• Support the development of recommendations for ecosystem restoration and protection based on ecological risk and importance.</w:t>
      </w:r>
    </w:p>
    <w:p w14:paraId="03E8DCA4" w14:textId="441E6404" w:rsidR="00BD6943" w:rsidRPr="00546EB3" w:rsidRDefault="00F0798C" w:rsidP="00546EB3">
      <w:pPr>
        <w:pStyle w:val="Heading3"/>
        <w:numPr>
          <w:ilvl w:val="0"/>
          <w:numId w:val="0"/>
        </w:numPr>
        <w:ind w:left="794" w:hanging="794"/>
      </w:pPr>
      <w:r w:rsidRPr="00546EB3">
        <w:t>3.6</w:t>
      </w:r>
      <w:r w:rsidR="0027109B" w:rsidRPr="00546EB3">
        <w:t>.</w:t>
      </w:r>
      <w:r w:rsidR="00581D13" w:rsidRPr="00546EB3">
        <w:t xml:space="preserve"> </w:t>
      </w:r>
      <w:r w:rsidRPr="00546EB3">
        <w:t xml:space="preserve">Key </w:t>
      </w:r>
      <w:r w:rsidR="00BD6943" w:rsidRPr="00546EB3">
        <w:t>Activity</w:t>
      </w:r>
      <w:r w:rsidRPr="00546EB3">
        <w:t xml:space="preserve"> Guid</w:t>
      </w:r>
      <w:r w:rsidR="00BD6943" w:rsidRPr="00546EB3">
        <w:t>ance</w:t>
      </w:r>
    </w:p>
    <w:p w14:paraId="0958031A" w14:textId="46823E5B" w:rsidR="00581D13" w:rsidRPr="00546EB3" w:rsidRDefault="00874CAE" w:rsidP="00546EB3">
      <w:pPr>
        <w:pStyle w:val="Heading3"/>
        <w:numPr>
          <w:ilvl w:val="0"/>
          <w:numId w:val="0"/>
        </w:numPr>
        <w:ind w:left="794" w:hanging="794"/>
      </w:pPr>
      <w:r w:rsidRPr="00546EB3">
        <w:t>3.6.1</w:t>
      </w:r>
      <w:r w:rsidR="0027109B" w:rsidRPr="00546EB3">
        <w:t xml:space="preserve">. </w:t>
      </w:r>
      <w:r w:rsidR="00581D13" w:rsidRPr="00546EB3">
        <w:t>Secondary Data Acquisition</w:t>
      </w:r>
    </w:p>
    <w:p w14:paraId="107BACED" w14:textId="33C00764" w:rsidR="00581D13" w:rsidRPr="00015A3F" w:rsidRDefault="00E43991" w:rsidP="00581D13">
      <w:pPr>
        <w:numPr>
          <w:ilvl w:val="0"/>
          <w:numId w:val="33"/>
        </w:numPr>
      </w:pPr>
      <w:r>
        <w:t>Identify</w:t>
      </w:r>
      <w:r w:rsidR="00581D13" w:rsidRPr="00015A3F">
        <w:t xml:space="preserve"> and obtain required data and information from additional potential sources, including:</w:t>
      </w:r>
    </w:p>
    <w:p w14:paraId="73A5C794" w14:textId="77777777" w:rsidR="00581D13" w:rsidRPr="00015A3F" w:rsidRDefault="00581D13" w:rsidP="00581D13">
      <w:pPr>
        <w:numPr>
          <w:ilvl w:val="1"/>
          <w:numId w:val="33"/>
        </w:numPr>
      </w:pPr>
      <w:r w:rsidRPr="00015A3F">
        <w:t>Local, regional, and international scientific communities</w:t>
      </w:r>
    </w:p>
    <w:p w14:paraId="39E65D8B" w14:textId="77777777" w:rsidR="00581D13" w:rsidRPr="00015A3F" w:rsidRDefault="00581D13" w:rsidP="00581D13">
      <w:pPr>
        <w:numPr>
          <w:ilvl w:val="1"/>
          <w:numId w:val="33"/>
        </w:numPr>
      </w:pPr>
      <w:r w:rsidRPr="00015A3F">
        <w:t xml:space="preserve">Relevant regional projects and initiatives (especially those linked to the </w:t>
      </w:r>
      <w:r>
        <w:t>Neun/</w:t>
      </w:r>
      <w:r w:rsidRPr="00015A3F">
        <w:t>C</w:t>
      </w:r>
      <w:r>
        <w:t>a</w:t>
      </w:r>
      <w:r w:rsidRPr="00015A3F">
        <w:t xml:space="preserve"> and M</w:t>
      </w:r>
      <w:r>
        <w:t>a</w:t>
      </w:r>
      <w:r w:rsidRPr="00015A3F">
        <w:t xml:space="preserve"> catchments)</w:t>
      </w:r>
    </w:p>
    <w:p w14:paraId="559F832C" w14:textId="77777777" w:rsidR="00581D13" w:rsidRPr="00015A3F" w:rsidRDefault="00581D13" w:rsidP="00581D13">
      <w:pPr>
        <w:numPr>
          <w:ilvl w:val="1"/>
          <w:numId w:val="33"/>
        </w:numPr>
      </w:pPr>
      <w:r w:rsidRPr="00015A3F">
        <w:t>Academic literature and open-access datasets</w:t>
      </w:r>
    </w:p>
    <w:p w14:paraId="63781B7B" w14:textId="77777777" w:rsidR="00581D13" w:rsidRPr="00015A3F" w:rsidRDefault="00581D13" w:rsidP="00581D13">
      <w:pPr>
        <w:numPr>
          <w:ilvl w:val="1"/>
          <w:numId w:val="33"/>
        </w:numPr>
      </w:pPr>
      <w:r w:rsidRPr="00015A3F">
        <w:lastRenderedPageBreak/>
        <w:t>Earth observation and remote sensing data sources (as outlined on page 14 of the 10-page project methodology)</w:t>
      </w:r>
    </w:p>
    <w:p w14:paraId="04814052" w14:textId="77777777" w:rsidR="00581D13" w:rsidRPr="00015A3F" w:rsidRDefault="00581D13" w:rsidP="00581D13"/>
    <w:p w14:paraId="6D8D4235" w14:textId="78D1259C" w:rsidR="00581D13" w:rsidRPr="00546EB3" w:rsidRDefault="0027109B" w:rsidP="00546EB3">
      <w:pPr>
        <w:pStyle w:val="Heading3"/>
        <w:numPr>
          <w:ilvl w:val="0"/>
          <w:numId w:val="0"/>
        </w:numPr>
        <w:ind w:left="794" w:hanging="794"/>
      </w:pPr>
      <w:r w:rsidRPr="00546EB3">
        <w:t xml:space="preserve">3.6.2. </w:t>
      </w:r>
      <w:r w:rsidR="00581D13" w:rsidRPr="00546EB3">
        <w:t>Planning and Delivery of Field Visits</w:t>
      </w:r>
    </w:p>
    <w:p w14:paraId="5F31E2D6" w14:textId="584BBCB2" w:rsidR="00581D13" w:rsidRPr="00015A3F" w:rsidRDefault="00A57726" w:rsidP="00581D13">
      <w:pPr>
        <w:numPr>
          <w:ilvl w:val="0"/>
          <w:numId w:val="34"/>
        </w:numPr>
      </w:pPr>
      <w:r>
        <w:t>P</w:t>
      </w:r>
      <w:r w:rsidR="00581D13" w:rsidRPr="00015A3F">
        <w:t>lan and conduct targeted field visits to collect data not available from secondary sources.</w:t>
      </w:r>
    </w:p>
    <w:p w14:paraId="17D8280D" w14:textId="77777777" w:rsidR="00581D13" w:rsidRPr="00015A3F" w:rsidRDefault="00581D13" w:rsidP="00581D13">
      <w:pPr>
        <w:numPr>
          <w:ilvl w:val="0"/>
          <w:numId w:val="34"/>
        </w:numPr>
      </w:pPr>
      <w:r w:rsidRPr="00015A3F">
        <w:t>Field visits must:</w:t>
      </w:r>
    </w:p>
    <w:p w14:paraId="5A853B4F" w14:textId="77777777" w:rsidR="00581D13" w:rsidRPr="00015A3F" w:rsidRDefault="00581D13" w:rsidP="00581D13">
      <w:pPr>
        <w:numPr>
          <w:ilvl w:val="1"/>
          <w:numId w:val="34"/>
        </w:numPr>
      </w:pPr>
      <w:r w:rsidRPr="00015A3F">
        <w:t>Have clearly defined data and information objectives</w:t>
      </w:r>
    </w:p>
    <w:p w14:paraId="44413591" w14:textId="77777777" w:rsidR="00581D13" w:rsidRPr="00015A3F" w:rsidRDefault="00581D13" w:rsidP="00581D13">
      <w:pPr>
        <w:numPr>
          <w:ilvl w:val="1"/>
          <w:numId w:val="34"/>
        </w:numPr>
      </w:pPr>
      <w:r w:rsidRPr="00015A3F">
        <w:t>Outline data collection methods in advance</w:t>
      </w:r>
    </w:p>
    <w:p w14:paraId="14B0DCC9" w14:textId="77777777" w:rsidR="00581D13" w:rsidRPr="00015A3F" w:rsidRDefault="00581D13" w:rsidP="00581D13">
      <w:pPr>
        <w:numPr>
          <w:ilvl w:val="1"/>
          <w:numId w:val="34"/>
        </w:numPr>
      </w:pPr>
      <w:r w:rsidRPr="00015A3F">
        <w:t>Secure all necessary permissions, approvals, and scheduled meetings</w:t>
      </w:r>
    </w:p>
    <w:p w14:paraId="6012CE14" w14:textId="77777777" w:rsidR="00581D13" w:rsidRPr="00015A3F" w:rsidRDefault="00581D13" w:rsidP="00581D13">
      <w:pPr>
        <w:numPr>
          <w:ilvl w:val="1"/>
          <w:numId w:val="34"/>
        </w:numPr>
      </w:pPr>
      <w:r w:rsidRPr="00015A3F">
        <w:t>Include community visits where appropriate</w:t>
      </w:r>
    </w:p>
    <w:p w14:paraId="4C78C4E9" w14:textId="77777777" w:rsidR="00581D13" w:rsidRPr="00015A3F" w:rsidRDefault="00581D13" w:rsidP="00581D13">
      <w:pPr>
        <w:numPr>
          <w:ilvl w:val="0"/>
          <w:numId w:val="34"/>
        </w:numPr>
      </w:pPr>
      <w:r w:rsidRPr="00015A3F">
        <w:t xml:space="preserve">Ensure visits cover </w:t>
      </w:r>
      <w:r w:rsidRPr="00015A3F">
        <w:rPr>
          <w:b/>
          <w:bCs/>
        </w:rPr>
        <w:t>all relevant sectors</w:t>
      </w:r>
      <w:r w:rsidRPr="00015A3F">
        <w:t>, including:</w:t>
      </w:r>
    </w:p>
    <w:p w14:paraId="5026EAD9" w14:textId="77777777" w:rsidR="00581D13" w:rsidRPr="00015A3F" w:rsidRDefault="00581D13" w:rsidP="00581D13">
      <w:pPr>
        <w:numPr>
          <w:ilvl w:val="1"/>
          <w:numId w:val="34"/>
        </w:numPr>
      </w:pPr>
      <w:r w:rsidRPr="00015A3F">
        <w:t>Governance institutions</w:t>
      </w:r>
    </w:p>
    <w:p w14:paraId="000C5643" w14:textId="77777777" w:rsidR="00581D13" w:rsidRPr="00015A3F" w:rsidRDefault="00581D13" w:rsidP="00581D13">
      <w:pPr>
        <w:numPr>
          <w:ilvl w:val="1"/>
          <w:numId w:val="34"/>
        </w:numPr>
      </w:pPr>
      <w:r w:rsidRPr="00015A3F">
        <w:t>Hydropower managers and operators</w:t>
      </w:r>
    </w:p>
    <w:p w14:paraId="7455EA21" w14:textId="77777777" w:rsidR="00581D13" w:rsidRPr="00015A3F" w:rsidRDefault="00581D13" w:rsidP="00581D13">
      <w:pPr>
        <w:numPr>
          <w:ilvl w:val="1"/>
          <w:numId w:val="34"/>
        </w:numPr>
      </w:pPr>
      <w:r w:rsidRPr="00015A3F">
        <w:t>Agricultural water users</w:t>
      </w:r>
    </w:p>
    <w:p w14:paraId="1F03F11F" w14:textId="77777777" w:rsidR="00581D13" w:rsidRPr="00015A3F" w:rsidRDefault="00581D13" w:rsidP="00581D13">
      <w:pPr>
        <w:numPr>
          <w:ilvl w:val="1"/>
          <w:numId w:val="34"/>
        </w:numPr>
      </w:pPr>
      <w:r w:rsidRPr="00015A3F">
        <w:t>Land-use stakeholders</w:t>
      </w:r>
    </w:p>
    <w:p w14:paraId="7546008F" w14:textId="77777777" w:rsidR="00581D13" w:rsidRPr="00015A3F" w:rsidRDefault="00581D13" w:rsidP="00581D13">
      <w:pPr>
        <w:numPr>
          <w:ilvl w:val="1"/>
          <w:numId w:val="34"/>
        </w:numPr>
      </w:pPr>
      <w:r w:rsidRPr="00015A3F">
        <w:t>Rural and urban domestic water users</w:t>
      </w:r>
    </w:p>
    <w:p w14:paraId="19906709" w14:textId="7799D836" w:rsidR="00581D13" w:rsidRDefault="00581D13" w:rsidP="00581D13">
      <w:pPr>
        <w:numPr>
          <w:ilvl w:val="1"/>
          <w:numId w:val="34"/>
        </w:numPr>
      </w:pPr>
      <w:r w:rsidRPr="00015A3F">
        <w:t xml:space="preserve">Locations should be representative and informed by the </w:t>
      </w:r>
      <w:r w:rsidR="00235071">
        <w:t>gap analysis</w:t>
      </w:r>
    </w:p>
    <w:p w14:paraId="53CD8C20" w14:textId="77777777" w:rsidR="00581D13" w:rsidRPr="00015A3F" w:rsidRDefault="00581D13" w:rsidP="00581D13">
      <w:pPr>
        <w:numPr>
          <w:ilvl w:val="1"/>
          <w:numId w:val="34"/>
        </w:numPr>
      </w:pPr>
      <w:r>
        <w:t>These stakeholders should be encouraged and enabled to contribute to the conceptualisation by describing key issues considered by them to be significant.</w:t>
      </w:r>
    </w:p>
    <w:p w14:paraId="0F8588E3" w14:textId="77777777" w:rsidR="00581D13" w:rsidRPr="00015A3F" w:rsidRDefault="00581D13" w:rsidP="00581D13"/>
    <w:p w14:paraId="10E1171A" w14:textId="0761338A" w:rsidR="00581D13" w:rsidRPr="00546EB3" w:rsidRDefault="0027109B" w:rsidP="00546EB3">
      <w:pPr>
        <w:pStyle w:val="Heading3"/>
        <w:numPr>
          <w:ilvl w:val="0"/>
          <w:numId w:val="0"/>
        </w:numPr>
        <w:ind w:left="794" w:hanging="794"/>
      </w:pPr>
      <w:r w:rsidRPr="00546EB3">
        <w:t xml:space="preserve">3.6.3. </w:t>
      </w:r>
      <w:r w:rsidR="00581D13" w:rsidRPr="00546EB3">
        <w:t>Qualitative Data and Use Patterns</w:t>
      </w:r>
    </w:p>
    <w:p w14:paraId="2640017C" w14:textId="77777777" w:rsidR="00581D13" w:rsidRPr="00015A3F" w:rsidRDefault="00581D13" w:rsidP="00581D13">
      <w:pPr>
        <w:numPr>
          <w:ilvl w:val="0"/>
          <w:numId w:val="35"/>
        </w:numPr>
      </w:pPr>
      <w:r w:rsidRPr="00015A3F">
        <w:t>Collate as much</w:t>
      </w:r>
      <w:r>
        <w:t xml:space="preserve"> quantitative and/or</w:t>
      </w:r>
      <w:r w:rsidRPr="00015A3F">
        <w:t xml:space="preserve"> qualitative information as possible related to:</w:t>
      </w:r>
    </w:p>
    <w:p w14:paraId="0085BF01" w14:textId="77777777" w:rsidR="00581D13" w:rsidRPr="00015A3F" w:rsidRDefault="00581D13" w:rsidP="00581D13">
      <w:pPr>
        <w:numPr>
          <w:ilvl w:val="1"/>
          <w:numId w:val="35"/>
        </w:numPr>
      </w:pPr>
      <w:r w:rsidRPr="00015A3F">
        <w:t>Water use volumes and seasonal patterns</w:t>
      </w:r>
    </w:p>
    <w:p w14:paraId="25FD2B62" w14:textId="77777777" w:rsidR="00581D13" w:rsidRPr="00015A3F" w:rsidRDefault="00581D13" w:rsidP="00581D13">
      <w:pPr>
        <w:numPr>
          <w:ilvl w:val="1"/>
          <w:numId w:val="35"/>
        </w:numPr>
      </w:pPr>
      <w:r w:rsidRPr="00015A3F">
        <w:t>Demand drivers and user behaviours</w:t>
      </w:r>
    </w:p>
    <w:p w14:paraId="7C7613E8" w14:textId="18620F7F" w:rsidR="00581D13" w:rsidRPr="00015A3F" w:rsidRDefault="00383FF6" w:rsidP="00581D13">
      <w:pPr>
        <w:numPr>
          <w:ilvl w:val="0"/>
          <w:numId w:val="35"/>
        </w:numPr>
      </w:pPr>
      <w:r>
        <w:t>C</w:t>
      </w:r>
      <w:r w:rsidR="00581D13" w:rsidRPr="00015A3F">
        <w:t>ollect structured or semi-structured data that will allow estimation or interpretation of demand across different sectors.</w:t>
      </w:r>
    </w:p>
    <w:p w14:paraId="43B32365" w14:textId="77777777" w:rsidR="00E97AE4" w:rsidRDefault="00E97AE4" w:rsidP="002338CE">
      <w:pPr>
        <w:rPr>
          <w:rFonts w:eastAsia="Times New Roman"/>
          <w:b/>
          <w:bCs/>
          <w:szCs w:val="18"/>
        </w:rPr>
      </w:pPr>
    </w:p>
    <w:p w14:paraId="4EF406F1" w14:textId="3DFFB516" w:rsidR="006042F1" w:rsidRPr="006042F1" w:rsidRDefault="003E4D5D" w:rsidP="006042F1">
      <w:pPr>
        <w:pStyle w:val="Title"/>
        <w:widowControl w:val="0"/>
        <w:autoSpaceDE w:val="0"/>
        <w:autoSpaceDN w:val="0"/>
        <w:spacing w:before="100" w:beforeAutospacing="1" w:after="100" w:afterAutospacing="1" w:line="276" w:lineRule="auto"/>
        <w:ind w:left="100"/>
        <w:contextualSpacing w:val="0"/>
        <w:jc w:val="both"/>
        <w:rPr>
          <w:rFonts w:ascii="Calibri" w:eastAsia="Trebuchet MS" w:hAnsi="Calibri" w:cs="Calibri"/>
          <w:bCs/>
          <w:color w:val="006FC0"/>
          <w:spacing w:val="0"/>
          <w:w w:val="85"/>
          <w:kern w:val="0"/>
          <w:sz w:val="28"/>
          <w:szCs w:val="28"/>
          <w:lang w:eastAsia="en-US"/>
        </w:rPr>
      </w:pPr>
      <w:r>
        <w:rPr>
          <w:rFonts w:ascii="Calibri" w:eastAsia="Trebuchet MS" w:hAnsi="Calibri" w:cs="Calibri"/>
          <w:bCs/>
          <w:color w:val="006FC0"/>
          <w:spacing w:val="0"/>
          <w:w w:val="85"/>
          <w:kern w:val="0"/>
          <w:sz w:val="28"/>
          <w:szCs w:val="28"/>
          <w:lang w:eastAsia="en-US"/>
        </w:rPr>
        <w:t xml:space="preserve">4. </w:t>
      </w:r>
      <w:r w:rsidR="006042F1" w:rsidRPr="006042F1">
        <w:rPr>
          <w:rFonts w:ascii="Calibri" w:eastAsia="Trebuchet MS" w:hAnsi="Calibri" w:cs="Calibri"/>
          <w:bCs/>
          <w:color w:val="006FC0"/>
          <w:spacing w:val="0"/>
          <w:w w:val="85"/>
          <w:kern w:val="0"/>
          <w:sz w:val="28"/>
          <w:szCs w:val="28"/>
          <w:lang w:eastAsia="en-US"/>
        </w:rPr>
        <w:t>Deliverables and Timeline</w:t>
      </w:r>
    </w:p>
    <w:tbl>
      <w:tblPr>
        <w:tblStyle w:val="TableGrid"/>
        <w:tblW w:w="9292" w:type="dxa"/>
        <w:tblLook w:val="04A0" w:firstRow="1" w:lastRow="0" w:firstColumn="1" w:lastColumn="0" w:noHBand="0" w:noVBand="1"/>
      </w:tblPr>
      <w:tblGrid>
        <w:gridCol w:w="365"/>
        <w:gridCol w:w="1591"/>
        <w:gridCol w:w="4753"/>
        <w:gridCol w:w="1235"/>
        <w:gridCol w:w="1348"/>
      </w:tblGrid>
      <w:tr w:rsidR="00166385" w14:paraId="63314AAE" w14:textId="4F93DF1D" w:rsidTr="00407B20">
        <w:tc>
          <w:tcPr>
            <w:tcW w:w="364" w:type="dxa"/>
          </w:tcPr>
          <w:p w14:paraId="4D56F642" w14:textId="3E39435E" w:rsidR="00166385" w:rsidRDefault="00166385" w:rsidP="00AC219D">
            <w:r>
              <w:t>#</w:t>
            </w:r>
          </w:p>
        </w:tc>
        <w:tc>
          <w:tcPr>
            <w:tcW w:w="1368" w:type="dxa"/>
          </w:tcPr>
          <w:p w14:paraId="02BB1882" w14:textId="5E005202" w:rsidR="00166385" w:rsidRDefault="00166385" w:rsidP="00AC219D">
            <w:r>
              <w:t>Deliverable</w:t>
            </w:r>
          </w:p>
        </w:tc>
        <w:tc>
          <w:tcPr>
            <w:tcW w:w="4926" w:type="dxa"/>
          </w:tcPr>
          <w:p w14:paraId="5EA7D53E" w14:textId="77777777" w:rsidR="00166385" w:rsidRDefault="00166385" w:rsidP="00AC219D">
            <w:r>
              <w:t>Description</w:t>
            </w:r>
          </w:p>
        </w:tc>
        <w:tc>
          <w:tcPr>
            <w:tcW w:w="1275" w:type="dxa"/>
          </w:tcPr>
          <w:p w14:paraId="67AC9732" w14:textId="7F1D3836" w:rsidR="00166385" w:rsidRDefault="00166385" w:rsidP="00AC219D">
            <w:r>
              <w:t>Days</w:t>
            </w:r>
          </w:p>
        </w:tc>
        <w:tc>
          <w:tcPr>
            <w:tcW w:w="1359" w:type="dxa"/>
          </w:tcPr>
          <w:p w14:paraId="76E32BA1" w14:textId="34701698" w:rsidR="00166385" w:rsidRDefault="00407B20" w:rsidP="00AC219D">
            <w:r>
              <w:t>Timeframe</w:t>
            </w:r>
          </w:p>
        </w:tc>
      </w:tr>
      <w:tr w:rsidR="00EA6C37" w14:paraId="0E3111FE" w14:textId="7BAF8C1D" w:rsidTr="00407B20">
        <w:trPr>
          <w:trHeight w:val="530"/>
        </w:trPr>
        <w:tc>
          <w:tcPr>
            <w:tcW w:w="364" w:type="dxa"/>
          </w:tcPr>
          <w:p w14:paraId="2978FC1F" w14:textId="75690F0D" w:rsidR="00EA6C37" w:rsidRDefault="00EA6C37" w:rsidP="00EA6C37">
            <w:r>
              <w:t>1</w:t>
            </w:r>
          </w:p>
        </w:tc>
        <w:tc>
          <w:tcPr>
            <w:tcW w:w="1368" w:type="dxa"/>
          </w:tcPr>
          <w:p w14:paraId="750AD62A" w14:textId="37128F6D" w:rsidR="00EA6C37" w:rsidRDefault="00EA6C37" w:rsidP="00EA6C37">
            <w:r>
              <w:t>Inception report including Work Plan &amp; Methodology</w:t>
            </w:r>
          </w:p>
        </w:tc>
        <w:tc>
          <w:tcPr>
            <w:tcW w:w="4926" w:type="dxa"/>
          </w:tcPr>
          <w:p w14:paraId="3BC70B1C" w14:textId="77777777" w:rsidR="00EA6C37" w:rsidRDefault="00EA6C37" w:rsidP="00EA6C37">
            <w:r>
              <w:t>Initial plan outlining tasks, timelines, and data sources</w:t>
            </w:r>
          </w:p>
        </w:tc>
        <w:tc>
          <w:tcPr>
            <w:tcW w:w="1275" w:type="dxa"/>
          </w:tcPr>
          <w:p w14:paraId="5E0202C4" w14:textId="3DC1C36E" w:rsidR="00EA6C37" w:rsidRDefault="00EA6C37" w:rsidP="00EA6C37">
            <w:r>
              <w:t>2 days</w:t>
            </w:r>
          </w:p>
        </w:tc>
        <w:tc>
          <w:tcPr>
            <w:tcW w:w="1359" w:type="dxa"/>
          </w:tcPr>
          <w:p w14:paraId="189F241B" w14:textId="4DFCF9CE" w:rsidR="00EA6C37" w:rsidRDefault="00EA6C37" w:rsidP="00EA6C37">
            <w:r>
              <w:t>Week 1</w:t>
            </w:r>
          </w:p>
        </w:tc>
      </w:tr>
      <w:tr w:rsidR="00EA6C37" w14:paraId="7A3DBC17" w14:textId="185CC82C" w:rsidTr="00407B20">
        <w:tc>
          <w:tcPr>
            <w:tcW w:w="364" w:type="dxa"/>
          </w:tcPr>
          <w:p w14:paraId="309D4AB1" w14:textId="7C0A4E84" w:rsidR="00EA6C37" w:rsidRDefault="00EA6C37" w:rsidP="00EA6C37">
            <w:r>
              <w:t>2</w:t>
            </w:r>
          </w:p>
        </w:tc>
        <w:tc>
          <w:tcPr>
            <w:tcW w:w="1368" w:type="dxa"/>
          </w:tcPr>
          <w:p w14:paraId="3C9CFA8D" w14:textId="21614E7E" w:rsidR="00EA6C37" w:rsidRDefault="00EA6C37" w:rsidP="00EA6C37">
            <w:r>
              <w:t>Gap Analysis from review for the 5 assessments</w:t>
            </w:r>
          </w:p>
        </w:tc>
        <w:tc>
          <w:tcPr>
            <w:tcW w:w="4926" w:type="dxa"/>
          </w:tcPr>
          <w:p w14:paraId="159D5367" w14:textId="77777777" w:rsidR="00EA6C37" w:rsidRPr="00015A3F" w:rsidRDefault="00EA6C37" w:rsidP="00EA6C37">
            <w:pPr>
              <w:numPr>
                <w:ilvl w:val="0"/>
                <w:numId w:val="36"/>
              </w:numPr>
              <w:tabs>
                <w:tab w:val="num" w:pos="1080"/>
              </w:tabs>
            </w:pPr>
            <w:r w:rsidRPr="00015A3F">
              <w:t>Comprehensive overview of data gaps that remain after Task 1.1.2</w:t>
            </w:r>
            <w:r>
              <w:t xml:space="preserve">. </w:t>
            </w:r>
            <w:r w:rsidRPr="00015A3F">
              <w:t>Highlights areas where critical data is unavailable or uncertain</w:t>
            </w:r>
            <w:r>
              <w:t xml:space="preserve"> and records </w:t>
            </w:r>
            <w:r w:rsidRPr="00015A3F">
              <w:t>all attempted but unsuccessful acquisition efforts, with brief notes on reason (e.g. unavailable, inaccessible, cost-prohibitive, politically sensitive)</w:t>
            </w:r>
            <w:r>
              <w:t xml:space="preserve">. </w:t>
            </w:r>
          </w:p>
          <w:p w14:paraId="4F955CB3" w14:textId="77777777" w:rsidR="00EA6C37" w:rsidRDefault="00EA6C37" w:rsidP="00EA6C37">
            <w:pPr>
              <w:numPr>
                <w:ilvl w:val="0"/>
                <w:numId w:val="36"/>
              </w:numPr>
              <w:tabs>
                <w:tab w:val="num" w:pos="1080"/>
              </w:tabs>
            </w:pPr>
            <w:r w:rsidRPr="00015A3F">
              <w:t>Assessment of implications of each unresolved gap on:</w:t>
            </w:r>
          </w:p>
          <w:p w14:paraId="30122767" w14:textId="77777777" w:rsidR="00EA6C37" w:rsidRDefault="00EA6C37" w:rsidP="00EA6C37">
            <w:pPr>
              <w:numPr>
                <w:ilvl w:val="1"/>
                <w:numId w:val="36"/>
              </w:numPr>
              <w:tabs>
                <w:tab w:val="num" w:pos="1800"/>
              </w:tabs>
            </w:pPr>
            <w:r w:rsidRPr="00015A3F">
              <w:t>Thematic analyses</w:t>
            </w:r>
          </w:p>
          <w:p w14:paraId="437E753B" w14:textId="77777777" w:rsidR="00EA6C37" w:rsidRDefault="00EA6C37" w:rsidP="00EA6C37">
            <w:pPr>
              <w:numPr>
                <w:ilvl w:val="1"/>
                <w:numId w:val="36"/>
              </w:numPr>
              <w:tabs>
                <w:tab w:val="num" w:pos="1800"/>
              </w:tabs>
            </w:pPr>
            <w:r w:rsidRPr="00015A3F">
              <w:t>Trend and projection outputs</w:t>
            </w:r>
          </w:p>
          <w:p w14:paraId="656437F7" w14:textId="77777777" w:rsidR="00EA6C37" w:rsidRPr="00015A3F" w:rsidRDefault="00EA6C37" w:rsidP="00EA6C37">
            <w:pPr>
              <w:numPr>
                <w:ilvl w:val="0"/>
                <w:numId w:val="36"/>
              </w:numPr>
              <w:tabs>
                <w:tab w:val="num" w:pos="1080"/>
              </w:tabs>
            </w:pPr>
            <w:r w:rsidRPr="00015A3F">
              <w:t>Practical, documented recommendations for how to reconcile or manage these gaps, such as:</w:t>
            </w:r>
          </w:p>
          <w:p w14:paraId="50C3EF46" w14:textId="77777777" w:rsidR="00EA6C37" w:rsidRPr="00015A3F" w:rsidRDefault="00EA6C37" w:rsidP="00EA6C37">
            <w:pPr>
              <w:numPr>
                <w:ilvl w:val="1"/>
                <w:numId w:val="36"/>
              </w:numPr>
              <w:tabs>
                <w:tab w:val="num" w:pos="1800"/>
              </w:tabs>
            </w:pPr>
            <w:r w:rsidRPr="00015A3F">
              <w:t>Use of proxies or estimation methods</w:t>
            </w:r>
          </w:p>
          <w:p w14:paraId="0901A215" w14:textId="77777777" w:rsidR="00EA6C37" w:rsidRDefault="00EA6C37" w:rsidP="00EA6C37">
            <w:pPr>
              <w:numPr>
                <w:ilvl w:val="1"/>
                <w:numId w:val="36"/>
              </w:numPr>
              <w:tabs>
                <w:tab w:val="num" w:pos="1800"/>
              </w:tabs>
            </w:pPr>
            <w:r w:rsidRPr="00015A3F">
              <w:t>Scenario-based modelling</w:t>
            </w:r>
          </w:p>
          <w:p w14:paraId="6D44CB1A" w14:textId="17BE0146" w:rsidR="00EA6C37" w:rsidRDefault="00EA6C37" w:rsidP="00EA6C37">
            <w:pPr>
              <w:numPr>
                <w:ilvl w:val="1"/>
                <w:numId w:val="36"/>
              </w:numPr>
              <w:tabs>
                <w:tab w:val="num" w:pos="1800"/>
              </w:tabs>
            </w:pPr>
            <w:r w:rsidRPr="00015A3F">
              <w:t>Data confidence notes to be included in reporting</w:t>
            </w:r>
            <w:r>
              <w:t>.</w:t>
            </w:r>
          </w:p>
        </w:tc>
        <w:tc>
          <w:tcPr>
            <w:tcW w:w="1275" w:type="dxa"/>
          </w:tcPr>
          <w:p w14:paraId="033097D7" w14:textId="0DC63439" w:rsidR="00EA6C37" w:rsidRDefault="00EA6C37" w:rsidP="00EA6C37">
            <w:r>
              <w:t>1</w:t>
            </w:r>
            <w:r w:rsidR="00226AC0">
              <w:t>0</w:t>
            </w:r>
            <w:r>
              <w:t xml:space="preserve"> days</w:t>
            </w:r>
          </w:p>
        </w:tc>
        <w:tc>
          <w:tcPr>
            <w:tcW w:w="1359" w:type="dxa"/>
          </w:tcPr>
          <w:p w14:paraId="3A77F449" w14:textId="7D083550" w:rsidR="00EA6C37" w:rsidRDefault="00EA6C37" w:rsidP="00EA6C37">
            <w:r>
              <w:t xml:space="preserve"> Week 4</w:t>
            </w:r>
          </w:p>
        </w:tc>
      </w:tr>
      <w:tr w:rsidR="00EA6C37" w14:paraId="148C2080" w14:textId="07429F24" w:rsidTr="00407B20">
        <w:tc>
          <w:tcPr>
            <w:tcW w:w="364" w:type="dxa"/>
          </w:tcPr>
          <w:p w14:paraId="72F4F19A" w14:textId="37B5E8D8" w:rsidR="00EA6C37" w:rsidRDefault="00EA6C37" w:rsidP="00EA6C37">
            <w:r>
              <w:lastRenderedPageBreak/>
              <w:t>3</w:t>
            </w:r>
          </w:p>
        </w:tc>
        <w:tc>
          <w:tcPr>
            <w:tcW w:w="1368" w:type="dxa"/>
          </w:tcPr>
          <w:p w14:paraId="2D65A5E9" w14:textId="213437B3" w:rsidR="00EA6C37" w:rsidRDefault="00EA6C37" w:rsidP="00EA6C37">
            <w:r>
              <w:t>Fieldwork and fieldwork report</w:t>
            </w:r>
          </w:p>
        </w:tc>
        <w:tc>
          <w:tcPr>
            <w:tcW w:w="4926" w:type="dxa"/>
          </w:tcPr>
          <w:p w14:paraId="2F9AA740" w14:textId="77777777" w:rsidR="00EA6C37" w:rsidRDefault="00EA6C37" w:rsidP="00EA6C37">
            <w:r>
              <w:t>Undertake field work and produce summary of field visits, interviews, and observations</w:t>
            </w:r>
          </w:p>
        </w:tc>
        <w:tc>
          <w:tcPr>
            <w:tcW w:w="1275" w:type="dxa"/>
          </w:tcPr>
          <w:p w14:paraId="5B0F004A" w14:textId="559F9636" w:rsidR="00EA6C37" w:rsidRDefault="00EA6C37" w:rsidP="00EA6C37">
            <w:r>
              <w:t>1</w:t>
            </w:r>
            <w:r w:rsidR="00DA5503">
              <w:t>8</w:t>
            </w:r>
            <w:r>
              <w:t xml:space="preserve"> days </w:t>
            </w:r>
          </w:p>
          <w:p w14:paraId="698B0001" w14:textId="3A63B01D" w:rsidR="00EA6C37" w:rsidRDefault="00EA6C37" w:rsidP="00EA6C37"/>
        </w:tc>
        <w:tc>
          <w:tcPr>
            <w:tcW w:w="1359" w:type="dxa"/>
          </w:tcPr>
          <w:p w14:paraId="21DFCD2B" w14:textId="3EF24A54" w:rsidR="00EA6C37" w:rsidRDefault="00EA6C37" w:rsidP="00EA6C37">
            <w:r>
              <w:t>Week 8</w:t>
            </w:r>
          </w:p>
        </w:tc>
      </w:tr>
      <w:tr w:rsidR="00EA6C37" w14:paraId="5CBDA7FD" w14:textId="07E14E72" w:rsidTr="00407B20">
        <w:tc>
          <w:tcPr>
            <w:tcW w:w="364" w:type="dxa"/>
          </w:tcPr>
          <w:p w14:paraId="3663E0B7" w14:textId="52AC2B79" w:rsidR="00EA6C37" w:rsidRDefault="00EA6C37" w:rsidP="00EA6C37">
            <w:r>
              <w:t>4</w:t>
            </w:r>
          </w:p>
        </w:tc>
        <w:tc>
          <w:tcPr>
            <w:tcW w:w="1368" w:type="dxa"/>
          </w:tcPr>
          <w:p w14:paraId="6EA0F9D2" w14:textId="0B3679F5" w:rsidR="00EA6C37" w:rsidRDefault="00E90442" w:rsidP="00EA6C37">
            <w:r>
              <w:t>Documentation to support Thematic Reports</w:t>
            </w:r>
          </w:p>
        </w:tc>
        <w:tc>
          <w:tcPr>
            <w:tcW w:w="4926" w:type="dxa"/>
          </w:tcPr>
          <w:p w14:paraId="4F45D5EA" w14:textId="49E022B0" w:rsidR="005010BE" w:rsidRPr="009A2F23" w:rsidRDefault="005010BE" w:rsidP="005010BE">
            <w:r w:rsidRPr="001F3958">
              <w:t>Provide Lao specific results in documents for integration into the thematic reports</w:t>
            </w:r>
            <w:r>
              <w:t>,</w:t>
            </w:r>
            <w:r w:rsidRPr="00D70288">
              <w:t xml:space="preserve"> </w:t>
            </w:r>
            <w:r>
              <w:t>separate for each</w:t>
            </w:r>
            <w:r w:rsidRPr="00D70288">
              <w:t xml:space="preserve"> catchment, each focusing on specific areas of analysis, and detailing key findings and recommendations. The reports are as follows:</w:t>
            </w:r>
          </w:p>
          <w:p w14:paraId="06C9D566" w14:textId="1CA417E1" w:rsidR="00EA6C37" w:rsidRPr="00E01E2F" w:rsidRDefault="00EA6C37" w:rsidP="00EA6C37">
            <w:pPr>
              <w:numPr>
                <w:ilvl w:val="1"/>
                <w:numId w:val="37"/>
              </w:numPr>
              <w:tabs>
                <w:tab w:val="left" w:pos="714"/>
                <w:tab w:val="left" w:pos="1990"/>
              </w:tabs>
              <w:ind w:left="714" w:hanging="284"/>
            </w:pPr>
            <w:r w:rsidRPr="00BF3CFA">
              <w:t>Eco-system Governance</w:t>
            </w:r>
          </w:p>
          <w:p w14:paraId="080C591D" w14:textId="4BE43C82" w:rsidR="00EA6C37" w:rsidRPr="00E01E2F" w:rsidRDefault="00EA6C37" w:rsidP="00EA6C37">
            <w:pPr>
              <w:numPr>
                <w:ilvl w:val="1"/>
                <w:numId w:val="37"/>
              </w:numPr>
              <w:tabs>
                <w:tab w:val="left" w:pos="714"/>
                <w:tab w:val="left" w:pos="1990"/>
              </w:tabs>
              <w:ind w:left="714" w:hanging="284"/>
            </w:pPr>
            <w:r w:rsidRPr="00BF3CFA">
              <w:t>Land Use</w:t>
            </w:r>
          </w:p>
          <w:p w14:paraId="5CC363B5" w14:textId="00DED3F1" w:rsidR="00EA6C37" w:rsidRPr="00E01E2F" w:rsidRDefault="00EA6C37" w:rsidP="00EA6C37">
            <w:pPr>
              <w:numPr>
                <w:ilvl w:val="1"/>
                <w:numId w:val="37"/>
              </w:numPr>
              <w:tabs>
                <w:tab w:val="left" w:pos="714"/>
                <w:tab w:val="left" w:pos="1990"/>
              </w:tabs>
              <w:ind w:left="714" w:hanging="284"/>
            </w:pPr>
            <w:r w:rsidRPr="00BF3CFA">
              <w:t>Deforestation and Driving Factors</w:t>
            </w:r>
          </w:p>
          <w:p w14:paraId="7E79C71A" w14:textId="57FB2BA6" w:rsidR="00EA6C37" w:rsidRPr="00E01E2F" w:rsidRDefault="00EA6C37" w:rsidP="00EA6C37">
            <w:pPr>
              <w:numPr>
                <w:ilvl w:val="1"/>
                <w:numId w:val="37"/>
              </w:numPr>
              <w:tabs>
                <w:tab w:val="left" w:pos="714"/>
                <w:tab w:val="left" w:pos="1990"/>
              </w:tabs>
              <w:ind w:left="714" w:hanging="284"/>
            </w:pPr>
            <w:r w:rsidRPr="00E01E2F">
              <w:t>Current Hazards and Risks</w:t>
            </w:r>
          </w:p>
          <w:p w14:paraId="11A13FCD" w14:textId="01DD9E8B" w:rsidR="00EA6C37" w:rsidRPr="00D70288" w:rsidRDefault="00EA6C37" w:rsidP="00EA6C37">
            <w:pPr>
              <w:numPr>
                <w:ilvl w:val="1"/>
                <w:numId w:val="37"/>
              </w:numPr>
              <w:tabs>
                <w:tab w:val="left" w:pos="714"/>
                <w:tab w:val="left" w:pos="1990"/>
              </w:tabs>
              <w:ind w:left="714" w:hanging="284"/>
            </w:pPr>
            <w:r w:rsidRPr="00E01E2F">
              <w:t>Current Ecological Status</w:t>
            </w:r>
            <w:r w:rsidRPr="00D70288">
              <w:br/>
            </w:r>
          </w:p>
          <w:p w14:paraId="309CCFE5" w14:textId="0C557C36" w:rsidR="00EA6C37" w:rsidRDefault="00EA6C37" w:rsidP="00EA6C37">
            <w:r>
              <w:t>Clean, Quality assured-approved narrative and annexes</w:t>
            </w:r>
          </w:p>
        </w:tc>
        <w:tc>
          <w:tcPr>
            <w:tcW w:w="1275" w:type="dxa"/>
          </w:tcPr>
          <w:p w14:paraId="0AE05F88" w14:textId="3585344C" w:rsidR="00EA6C37" w:rsidRDefault="00EA6C37" w:rsidP="00EA6C37">
            <w:r>
              <w:t>1</w:t>
            </w:r>
            <w:r w:rsidR="0024094E">
              <w:t>5</w:t>
            </w:r>
            <w:r>
              <w:t xml:space="preserve"> days</w:t>
            </w:r>
          </w:p>
        </w:tc>
        <w:tc>
          <w:tcPr>
            <w:tcW w:w="1359" w:type="dxa"/>
          </w:tcPr>
          <w:p w14:paraId="698B28C7" w14:textId="701A538D" w:rsidR="00EA6C37" w:rsidRDefault="00EA6C37" w:rsidP="00EA6C37">
            <w:r>
              <w:t>Week 24</w:t>
            </w:r>
          </w:p>
        </w:tc>
      </w:tr>
      <w:tr w:rsidR="00EA6C37" w14:paraId="6357C11F" w14:textId="6F4C50D1" w:rsidTr="00407B20">
        <w:tc>
          <w:tcPr>
            <w:tcW w:w="364" w:type="dxa"/>
          </w:tcPr>
          <w:p w14:paraId="2C1C25B5" w14:textId="4CB71ED5" w:rsidR="00EA6C37" w:rsidRDefault="00EA6C37" w:rsidP="00EA6C37">
            <w:r>
              <w:t>-</w:t>
            </w:r>
          </w:p>
        </w:tc>
        <w:tc>
          <w:tcPr>
            <w:tcW w:w="1368" w:type="dxa"/>
          </w:tcPr>
          <w:p w14:paraId="4EDF590F" w14:textId="40670EFF" w:rsidR="00EA6C37" w:rsidRDefault="00EA6C37" w:rsidP="00EA6C37">
            <w:r>
              <w:t>Total</w:t>
            </w:r>
          </w:p>
        </w:tc>
        <w:tc>
          <w:tcPr>
            <w:tcW w:w="4926" w:type="dxa"/>
          </w:tcPr>
          <w:p w14:paraId="69687927" w14:textId="32F0637D" w:rsidR="00EA6C37" w:rsidRPr="00D70288" w:rsidRDefault="00EA6C37" w:rsidP="00EA6C37">
            <w:r>
              <w:t>-</w:t>
            </w:r>
          </w:p>
        </w:tc>
        <w:tc>
          <w:tcPr>
            <w:tcW w:w="1275" w:type="dxa"/>
          </w:tcPr>
          <w:p w14:paraId="67FCABCD" w14:textId="70E3D884" w:rsidR="00EA6C37" w:rsidRDefault="00EA6C37" w:rsidP="00EA6C37">
            <w:r>
              <w:t>4</w:t>
            </w:r>
            <w:r w:rsidR="00F2244F">
              <w:t>5</w:t>
            </w:r>
            <w:r>
              <w:t xml:space="preserve"> days</w:t>
            </w:r>
          </w:p>
        </w:tc>
        <w:tc>
          <w:tcPr>
            <w:tcW w:w="1359" w:type="dxa"/>
          </w:tcPr>
          <w:p w14:paraId="5DC54F8B" w14:textId="3D043CA9" w:rsidR="00EA6C37" w:rsidRDefault="00EA6C37" w:rsidP="00EA6C37">
            <w:r>
              <w:t>24 weeks</w:t>
            </w:r>
          </w:p>
        </w:tc>
      </w:tr>
    </w:tbl>
    <w:p w14:paraId="4D48241F" w14:textId="4B42454E" w:rsidR="00BE50F5" w:rsidRPr="00BE50F5" w:rsidRDefault="00BE50F5" w:rsidP="00BE50F5">
      <w:pPr>
        <w:pStyle w:val="Title"/>
        <w:widowControl w:val="0"/>
        <w:autoSpaceDE w:val="0"/>
        <w:autoSpaceDN w:val="0"/>
        <w:spacing w:before="100" w:beforeAutospacing="1" w:after="100" w:afterAutospacing="1" w:line="276" w:lineRule="auto"/>
        <w:ind w:left="100"/>
        <w:contextualSpacing w:val="0"/>
        <w:jc w:val="both"/>
        <w:rPr>
          <w:rFonts w:ascii="Calibri" w:eastAsia="Trebuchet MS" w:hAnsi="Calibri" w:cs="Calibri"/>
          <w:bCs/>
          <w:color w:val="006FC0"/>
          <w:spacing w:val="0"/>
          <w:w w:val="85"/>
          <w:kern w:val="0"/>
          <w:sz w:val="28"/>
          <w:szCs w:val="28"/>
          <w:lang w:eastAsia="en-US"/>
        </w:rPr>
      </w:pPr>
      <w:r w:rsidRPr="00BE50F5">
        <w:rPr>
          <w:rFonts w:ascii="Calibri" w:eastAsia="Trebuchet MS" w:hAnsi="Calibri" w:cs="Calibri"/>
          <w:bCs/>
          <w:color w:val="006FC0"/>
          <w:spacing w:val="0"/>
          <w:w w:val="85"/>
          <w:kern w:val="0"/>
          <w:sz w:val="28"/>
          <w:szCs w:val="28"/>
          <w:lang w:eastAsia="en-US"/>
        </w:rPr>
        <w:t>5. Reporting and Supervision</w:t>
      </w:r>
    </w:p>
    <w:p w14:paraId="1F885C42" w14:textId="04095114" w:rsidR="00BE50F5" w:rsidRPr="00AA0A90" w:rsidRDefault="00BE50F5" w:rsidP="00AA0A90">
      <w:r>
        <w:t>The consultant will report to the SNV Deputy Team Leader in Lao PDR and coordinate with the EEI and SNV team leads in Vietnam to ensure cross-border alignment. Quality assurance will be supported by SNV’s international hydrologist. Deliverables must be submitted in both Word and PDF formats and adhere to the project's formatting, referencing, and GIS metadata standards.</w:t>
      </w:r>
    </w:p>
    <w:p w14:paraId="1B1D5AC4" w14:textId="22D123AF" w:rsidR="00AA0A90" w:rsidRDefault="00FF6546" w:rsidP="00AA0A90">
      <w:pPr>
        <w:pStyle w:val="Title"/>
        <w:widowControl w:val="0"/>
        <w:autoSpaceDE w:val="0"/>
        <w:autoSpaceDN w:val="0"/>
        <w:spacing w:before="100" w:beforeAutospacing="1" w:after="100" w:afterAutospacing="1" w:line="276" w:lineRule="auto"/>
        <w:contextualSpacing w:val="0"/>
        <w:jc w:val="both"/>
        <w:rPr>
          <w:rFonts w:ascii="Calibri" w:eastAsia="Trebuchet MS" w:hAnsi="Calibri" w:cs="Calibri"/>
          <w:bCs/>
          <w:color w:val="006FC0"/>
          <w:spacing w:val="0"/>
          <w:w w:val="85"/>
          <w:kern w:val="0"/>
          <w:sz w:val="28"/>
          <w:szCs w:val="28"/>
          <w:lang w:eastAsia="en-US"/>
        </w:rPr>
      </w:pPr>
      <w:r>
        <w:rPr>
          <w:rFonts w:ascii="Calibri" w:eastAsia="Trebuchet MS" w:hAnsi="Calibri" w:cs="Calibri"/>
          <w:bCs/>
          <w:color w:val="006FC0"/>
          <w:spacing w:val="0"/>
          <w:w w:val="85"/>
          <w:kern w:val="0"/>
          <w:sz w:val="28"/>
          <w:szCs w:val="28"/>
          <w:lang w:eastAsia="en-US"/>
        </w:rPr>
        <w:t>6</w:t>
      </w:r>
      <w:r w:rsidR="00AA0A90" w:rsidRPr="00AD0FDA">
        <w:rPr>
          <w:rFonts w:ascii="Calibri" w:eastAsia="Trebuchet MS" w:hAnsi="Calibri" w:cs="Calibri"/>
          <w:bCs/>
          <w:color w:val="006FC0"/>
          <w:spacing w:val="0"/>
          <w:w w:val="85"/>
          <w:kern w:val="0"/>
          <w:sz w:val="28"/>
          <w:szCs w:val="28"/>
          <w:lang w:eastAsia="en-US"/>
        </w:rPr>
        <w:t xml:space="preserve">. </w:t>
      </w:r>
      <w:r w:rsidR="00AA0A90">
        <w:rPr>
          <w:rFonts w:ascii="Calibri" w:eastAsia="Trebuchet MS" w:hAnsi="Calibri" w:cs="Calibri"/>
          <w:bCs/>
          <w:color w:val="006FC0"/>
          <w:spacing w:val="0"/>
          <w:w w:val="85"/>
          <w:kern w:val="0"/>
          <w:sz w:val="28"/>
          <w:szCs w:val="28"/>
          <w:lang w:eastAsia="en-US"/>
        </w:rPr>
        <w:t>Annexes</w:t>
      </w:r>
    </w:p>
    <w:p w14:paraId="68AA8A5C" w14:textId="55576BD9" w:rsidR="00AA0A90" w:rsidRDefault="000872F8" w:rsidP="008809DD">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pPr>
      <w:r w:rsidRPr="000872F8">
        <w:t xml:space="preserve">Statement of Works (SoW) for </w:t>
      </w:r>
      <w:proofErr w:type="gramStart"/>
      <w:r w:rsidRPr="000872F8">
        <w:t>Consultants</w:t>
      </w:r>
      <w:proofErr w:type="gramEnd"/>
    </w:p>
    <w:p w14:paraId="4DFE393E" w14:textId="02119D53" w:rsidR="00E43991" w:rsidRDefault="00E43991" w:rsidP="008809DD">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pPr>
      <w:r>
        <w:t xml:space="preserve">Project </w:t>
      </w:r>
      <w:r w:rsidR="00E304EC">
        <w:t>M</w:t>
      </w:r>
      <w:r>
        <w:t>ethodology</w:t>
      </w:r>
    </w:p>
    <w:p w14:paraId="52A827F4" w14:textId="12856B1A" w:rsidR="00E43991" w:rsidRDefault="00E64BC8" w:rsidP="00E43991">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pPr>
      <w:hyperlink r:id="rId12" w:history="1">
        <w:r w:rsidRPr="00E22358">
          <w:rPr>
            <w:rStyle w:val="Hyperlink"/>
          </w:rPr>
          <w:t xml:space="preserve">FAO </w:t>
        </w:r>
        <w:r w:rsidR="00E22358" w:rsidRPr="00E22358">
          <w:rPr>
            <w:rStyle w:val="Hyperlink"/>
          </w:rPr>
          <w:t>Water Accounting and Auditing: A Source Book</w:t>
        </w:r>
      </w:hyperlink>
    </w:p>
    <w:p w14:paraId="6BEC70A6" w14:textId="79A1B998" w:rsidR="00AA0A90" w:rsidRPr="004E781B" w:rsidRDefault="004E781B" w:rsidP="00AA0A90">
      <w:pPr>
        <w:shd w:val="clear" w:color="auto" w:fill="FFFFFF" w:themeFill="background1"/>
        <w:spacing w:before="120" w:after="120"/>
        <w:jc w:val="both"/>
        <w:rPr>
          <w:rFonts w:eastAsia="Times New Roman"/>
          <w:szCs w:val="18"/>
        </w:rPr>
      </w:pPr>
      <w:r w:rsidRPr="004E781B">
        <w:rPr>
          <w:rFonts w:eastAsia="Times New Roman"/>
          <w:szCs w:val="18"/>
        </w:rPr>
        <w:t xml:space="preserve">Interested candidates are encouraged to submit their Cover letter &amp; CV to the </w:t>
      </w:r>
      <w:proofErr w:type="spellStart"/>
      <w:r w:rsidRPr="004E781B">
        <w:rPr>
          <w:rFonts w:eastAsia="Times New Roman"/>
          <w:szCs w:val="18"/>
        </w:rPr>
        <w:t>SmartRecruiter</w:t>
      </w:r>
      <w:proofErr w:type="spellEnd"/>
      <w:r w:rsidR="00591004">
        <w:rPr>
          <w:rFonts w:eastAsia="Times New Roman"/>
          <w:szCs w:val="18"/>
        </w:rPr>
        <w:t xml:space="preserve">: </w:t>
      </w:r>
      <w:hyperlink r:id="rId13" w:history="1">
        <w:r w:rsidR="00591004" w:rsidRPr="00DF38F2">
          <w:rPr>
            <w:rStyle w:val="Hyperlink"/>
            <w:rFonts w:eastAsia="Times New Roman"/>
            <w:szCs w:val="18"/>
          </w:rPr>
          <w:t>https://smrtr.io/rMyFk</w:t>
        </w:r>
      </w:hyperlink>
      <w:r w:rsidR="00591004">
        <w:rPr>
          <w:rFonts w:eastAsia="Times New Roman"/>
          <w:szCs w:val="18"/>
        </w:rPr>
        <w:t xml:space="preserve"> </w:t>
      </w:r>
      <w:r w:rsidRPr="004E781B">
        <w:rPr>
          <w:rFonts w:eastAsia="Times New Roman"/>
          <w:szCs w:val="18"/>
        </w:rPr>
        <w:t>and before 20 June 2025. </w:t>
      </w:r>
    </w:p>
    <w:sectPr w:rsidR="00AA0A90" w:rsidRPr="004E781B" w:rsidSect="00E57492">
      <w:headerReference w:type="default" r:id="rId14"/>
      <w:footerReference w:type="default" r:id="rId15"/>
      <w:headerReference w:type="first" r:id="rId16"/>
      <w:footerReference w:type="first" r:id="rId17"/>
      <w:pgSz w:w="11906" w:h="16838" w:code="9"/>
      <w:pgMar w:top="2610" w:right="1016" w:bottom="1350"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CF4C0" w14:textId="77777777" w:rsidR="0051284D" w:rsidRDefault="0051284D" w:rsidP="002419DA">
      <w:r>
        <w:separator/>
      </w:r>
    </w:p>
  </w:endnote>
  <w:endnote w:type="continuationSeparator" w:id="0">
    <w:p w14:paraId="7A050F46" w14:textId="77777777" w:rsidR="0051284D" w:rsidRDefault="0051284D" w:rsidP="002419DA">
      <w:r>
        <w:continuationSeparator/>
      </w:r>
    </w:p>
  </w:endnote>
  <w:endnote w:type="continuationNotice" w:id="1">
    <w:p w14:paraId="2BCE3703" w14:textId="77777777" w:rsidR="0051284D" w:rsidRDefault="0051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16967300"/>
      <w:docPartObj>
        <w:docPartGallery w:val="Page Numbers (Bottom of Page)"/>
        <w:docPartUnique/>
      </w:docPartObj>
    </w:sdtPr>
    <w:sdtEndPr>
      <w:rPr>
        <w:noProof/>
      </w:rPr>
    </w:sdtEndPr>
    <w:sdtContent>
      <w:p w14:paraId="6CB450E6" w14:textId="26B386CF" w:rsidR="00E57492" w:rsidRDefault="00E5749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EBCD140" w14:textId="77777777" w:rsidR="00E57492" w:rsidRDefault="00E57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10545" w:type="dxa"/>
      <w:tblInd w:w="-567" w:type="dxa"/>
      <w:tblLook w:val="04A0" w:firstRow="1" w:lastRow="0" w:firstColumn="1" w:lastColumn="0" w:noHBand="0" w:noVBand="1"/>
    </w:tblPr>
    <w:tblGrid>
      <w:gridCol w:w="4536"/>
      <w:gridCol w:w="3515"/>
      <w:gridCol w:w="2494"/>
    </w:tblGrid>
    <w:tr w:rsidR="005B4F41" w14:paraId="38BD0BC7" w14:textId="77777777" w:rsidTr="005B4F41">
      <w:tc>
        <w:tcPr>
          <w:tcW w:w="4536" w:type="dxa"/>
          <w:vAlign w:val="bottom"/>
        </w:tcPr>
        <w:p w14:paraId="1798922A" w14:textId="77777777" w:rsidR="000C1D84" w:rsidRDefault="000C1D84" w:rsidP="005B4F41">
          <w:pPr>
            <w:pStyle w:val="Footer"/>
          </w:pPr>
        </w:p>
      </w:tc>
      <w:tc>
        <w:tcPr>
          <w:tcW w:w="3515" w:type="dxa"/>
          <w:tcMar>
            <w:left w:w="992" w:type="dxa"/>
          </w:tcMar>
          <w:vAlign w:val="bottom"/>
        </w:tcPr>
        <w:p w14:paraId="532C025D" w14:textId="77777777" w:rsidR="000C1D84" w:rsidRPr="00233F7F" w:rsidRDefault="000C1D84" w:rsidP="00233F7F">
          <w:pPr>
            <w:pStyle w:val="Footer"/>
          </w:pPr>
        </w:p>
      </w:tc>
      <w:tc>
        <w:tcPr>
          <w:tcW w:w="2494" w:type="dxa"/>
          <w:vAlign w:val="bottom"/>
        </w:tcPr>
        <w:p w14:paraId="5A6390F6" w14:textId="77777777" w:rsidR="000C1D84" w:rsidRPr="002503B1" w:rsidRDefault="000C1D84" w:rsidP="00233F7F">
          <w:pPr>
            <w:pStyle w:val="Footer"/>
            <w:rPr>
              <w:rFonts w:asciiTheme="majorHAnsi" w:hAnsiTheme="majorHAnsi"/>
              <w:b/>
              <w:bCs/>
            </w:rPr>
          </w:pPr>
        </w:p>
      </w:tc>
    </w:tr>
  </w:tbl>
  <w:p w14:paraId="4779A609" w14:textId="77777777" w:rsidR="002419DA" w:rsidRDefault="00233F7F" w:rsidP="00233F7F">
    <w:pPr>
      <w:pStyle w:val="Footer"/>
      <w:tabs>
        <w:tab w:val="left" w:pos="4820"/>
      </w:tabs>
      <w:spacing w:line="14" w:lineRule="exact"/>
    </w:pPr>
    <w:r>
      <mc:AlternateContent>
        <mc:Choice Requires="wps">
          <w:drawing>
            <wp:anchor distT="0" distB="0" distL="114300" distR="114300" simplePos="0" relativeHeight="251658240" behindDoc="1" locked="1" layoutInCell="1" allowOverlap="1" wp14:anchorId="1A9E95D9" wp14:editId="50E75410">
              <wp:simplePos x="0" y="0"/>
              <wp:positionH relativeFrom="page">
                <wp:align>right</wp:align>
              </wp:positionH>
              <wp:positionV relativeFrom="page">
                <wp:align>bottom</wp:align>
              </wp:positionV>
              <wp:extent cx="3855601" cy="2268000"/>
              <wp:effectExtent l="0" t="0" r="0" b="0"/>
              <wp:wrapNone/>
              <wp:docPr id="1757086895"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601" cy="2268000"/>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35F0" id="Graphic 7" o:spid="_x0000_s1026" alt="&quot;&quot;" style="position:absolute;margin-left:252.4pt;margin-top:0;width:303.6pt;height:178.6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" path="m1627661,62190l259941,852259c117393,935179,,1137355,,1302263r,354040l2816496,1656303r,-1207463l2147543,62190v-142548,-82920,-377334,-82920,-519882,xe" fillcolor="#eff8fe" stroked="f" strokeweight="0">
              <v:stroke joinstyle="miter"/>
              <v:path arrowok="t" o:connecttype="custom" o:connectlocs="2228164,85158;355843,1167011;0,1783208;0,2268000;3855602,2268000;3855602,614603;2939849,85158;2228164,85158" o:connectangles="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0971" w14:textId="77777777" w:rsidR="0051284D" w:rsidRDefault="0051284D" w:rsidP="002419DA">
      <w:r>
        <w:separator/>
      </w:r>
    </w:p>
  </w:footnote>
  <w:footnote w:type="continuationSeparator" w:id="0">
    <w:p w14:paraId="2D8E9033" w14:textId="77777777" w:rsidR="0051284D" w:rsidRDefault="0051284D" w:rsidP="002419DA">
      <w:r>
        <w:continuationSeparator/>
      </w:r>
    </w:p>
  </w:footnote>
  <w:footnote w:type="continuationNotice" w:id="1">
    <w:p w14:paraId="6F1B905E" w14:textId="77777777" w:rsidR="0051284D" w:rsidRDefault="0051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7ACF" w14:textId="4E2D5428" w:rsidR="00E57492" w:rsidRDefault="00E57492">
    <w:pPr>
      <w:pStyle w:val="Header"/>
    </w:pPr>
    <w:r>
      <w:drawing>
        <wp:anchor distT="0" distB="0" distL="114300" distR="114300" simplePos="0" relativeHeight="251658242" behindDoc="0" locked="0" layoutInCell="1" allowOverlap="1" wp14:anchorId="3C025FF8" wp14:editId="03B0613A">
          <wp:simplePos x="0" y="0"/>
          <wp:positionH relativeFrom="page">
            <wp:posOffset>701141</wp:posOffset>
          </wp:positionH>
          <wp:positionV relativeFrom="page">
            <wp:posOffset>336500</wp:posOffset>
          </wp:positionV>
          <wp:extent cx="2231390" cy="1115695"/>
          <wp:effectExtent l="0" t="0" r="0" b="0"/>
          <wp:wrapNone/>
          <wp:docPr id="2109547376"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97F7" w14:textId="77777777" w:rsidR="002419DA" w:rsidRDefault="00233F7F" w:rsidP="005F1140">
    <w:pPr>
      <w:pStyle w:val="Header"/>
      <w:spacing w:line="2960" w:lineRule="exact"/>
    </w:pPr>
    <w:r>
      <w:drawing>
        <wp:anchor distT="0" distB="0" distL="114300" distR="114300" simplePos="0" relativeHeight="251658241" behindDoc="0" locked="0" layoutInCell="1" allowOverlap="1" wp14:anchorId="0E00D57B" wp14:editId="510A7E5D">
          <wp:simplePos x="0" y="0"/>
          <wp:positionH relativeFrom="page">
            <wp:posOffset>483235</wp:posOffset>
          </wp:positionH>
          <wp:positionV relativeFrom="page">
            <wp:posOffset>490220</wp:posOffset>
          </wp:positionV>
          <wp:extent cx="2232000" cy="1114544"/>
          <wp:effectExtent l="0" t="0" r="0" b="0"/>
          <wp:wrapNone/>
          <wp:docPr id="1912878854"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2000" cy="1114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 w15:restartNumberingAfterBreak="0">
    <w:nsid w:val="07DE0515"/>
    <w:multiLevelType w:val="hybridMultilevel"/>
    <w:tmpl w:val="A0E63A68"/>
    <w:lvl w:ilvl="0" w:tplc="6CA8DEE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3C73"/>
    <w:multiLevelType w:val="hybridMultilevel"/>
    <w:tmpl w:val="0EBA585C"/>
    <w:lvl w:ilvl="0" w:tplc="415490B0">
      <w:start w:val="1"/>
      <w:numFmt w:val="bullet"/>
      <w:lvlText w:val="-"/>
      <w:lvlJc w:val="left"/>
      <w:pPr>
        <w:ind w:left="720" w:hanging="360"/>
      </w:pPr>
      <w:rPr>
        <w:rFonts w:ascii="Aptos" w:hAnsi="Aptos" w:hint="default"/>
      </w:rPr>
    </w:lvl>
    <w:lvl w:ilvl="1" w:tplc="3CD0772C">
      <w:start w:val="1"/>
      <w:numFmt w:val="bullet"/>
      <w:lvlText w:val="o"/>
      <w:lvlJc w:val="left"/>
      <w:pPr>
        <w:ind w:left="1440" w:hanging="360"/>
      </w:pPr>
      <w:rPr>
        <w:rFonts w:ascii="Courier New" w:hAnsi="Courier New" w:hint="default"/>
      </w:rPr>
    </w:lvl>
    <w:lvl w:ilvl="2" w:tplc="524A565C">
      <w:start w:val="1"/>
      <w:numFmt w:val="bullet"/>
      <w:lvlText w:val=""/>
      <w:lvlJc w:val="left"/>
      <w:pPr>
        <w:ind w:left="2160" w:hanging="360"/>
      </w:pPr>
      <w:rPr>
        <w:rFonts w:ascii="Wingdings" w:hAnsi="Wingdings" w:hint="default"/>
      </w:rPr>
    </w:lvl>
    <w:lvl w:ilvl="3" w:tplc="892A9D9A">
      <w:start w:val="1"/>
      <w:numFmt w:val="bullet"/>
      <w:lvlText w:val=""/>
      <w:lvlJc w:val="left"/>
      <w:pPr>
        <w:ind w:left="2880" w:hanging="360"/>
      </w:pPr>
      <w:rPr>
        <w:rFonts w:ascii="Symbol" w:hAnsi="Symbol" w:hint="default"/>
      </w:rPr>
    </w:lvl>
    <w:lvl w:ilvl="4" w:tplc="87DEF7A8">
      <w:start w:val="1"/>
      <w:numFmt w:val="bullet"/>
      <w:lvlText w:val="o"/>
      <w:lvlJc w:val="left"/>
      <w:pPr>
        <w:ind w:left="3600" w:hanging="360"/>
      </w:pPr>
      <w:rPr>
        <w:rFonts w:ascii="Courier New" w:hAnsi="Courier New" w:hint="default"/>
      </w:rPr>
    </w:lvl>
    <w:lvl w:ilvl="5" w:tplc="8EFCE126">
      <w:start w:val="1"/>
      <w:numFmt w:val="bullet"/>
      <w:lvlText w:val=""/>
      <w:lvlJc w:val="left"/>
      <w:pPr>
        <w:ind w:left="4320" w:hanging="360"/>
      </w:pPr>
      <w:rPr>
        <w:rFonts w:ascii="Wingdings" w:hAnsi="Wingdings" w:hint="default"/>
      </w:rPr>
    </w:lvl>
    <w:lvl w:ilvl="6" w:tplc="1084D668">
      <w:start w:val="1"/>
      <w:numFmt w:val="bullet"/>
      <w:lvlText w:val=""/>
      <w:lvlJc w:val="left"/>
      <w:pPr>
        <w:ind w:left="5040" w:hanging="360"/>
      </w:pPr>
      <w:rPr>
        <w:rFonts w:ascii="Symbol" w:hAnsi="Symbol" w:hint="default"/>
      </w:rPr>
    </w:lvl>
    <w:lvl w:ilvl="7" w:tplc="0B9CC43A">
      <w:start w:val="1"/>
      <w:numFmt w:val="bullet"/>
      <w:lvlText w:val="o"/>
      <w:lvlJc w:val="left"/>
      <w:pPr>
        <w:ind w:left="5760" w:hanging="360"/>
      </w:pPr>
      <w:rPr>
        <w:rFonts w:ascii="Courier New" w:hAnsi="Courier New" w:hint="default"/>
      </w:rPr>
    </w:lvl>
    <w:lvl w:ilvl="8" w:tplc="6B0C0B7E">
      <w:start w:val="1"/>
      <w:numFmt w:val="bullet"/>
      <w:lvlText w:val=""/>
      <w:lvlJc w:val="left"/>
      <w:pPr>
        <w:ind w:left="6480" w:hanging="360"/>
      </w:pPr>
      <w:rPr>
        <w:rFonts w:ascii="Wingdings" w:hAnsi="Wingdings" w:hint="default"/>
      </w:rPr>
    </w:lvl>
  </w:abstractNum>
  <w:abstractNum w:abstractNumId="4" w15:restartNumberingAfterBreak="0">
    <w:nsid w:val="11A17988"/>
    <w:multiLevelType w:val="multilevel"/>
    <w:tmpl w:val="68121924"/>
    <w:numStyleLink w:val="Koppenlijst"/>
  </w:abstractNum>
  <w:abstractNum w:abstractNumId="5" w15:restartNumberingAfterBreak="0">
    <w:nsid w:val="12EB635A"/>
    <w:multiLevelType w:val="multilevel"/>
    <w:tmpl w:val="8460C9B0"/>
    <w:lvl w:ilvl="0">
      <w:start w:val="1"/>
      <w:numFmt w:val="bullet"/>
      <w:lvlText w:val="-"/>
      <w:lvlJc w:val="left"/>
      <w:pPr>
        <w:tabs>
          <w:tab w:val="num" w:pos="720"/>
        </w:tabs>
        <w:ind w:left="720" w:hanging="360"/>
      </w:pPr>
      <w:rPr>
        <w:rFonts w:ascii="Aptos" w:hAnsi="Aptos"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D7E35"/>
    <w:multiLevelType w:val="hybridMultilevel"/>
    <w:tmpl w:val="151C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465"/>
    <w:multiLevelType w:val="multilevel"/>
    <w:tmpl w:val="1BE21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9" w15:restartNumberingAfterBreak="0">
    <w:nsid w:val="205F19FC"/>
    <w:multiLevelType w:val="hybridMultilevel"/>
    <w:tmpl w:val="3A3E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D83152"/>
    <w:multiLevelType w:val="multilevel"/>
    <w:tmpl w:val="CE926F60"/>
    <w:lvl w:ilvl="0">
      <w:start w:val="1"/>
      <w:numFmt w:val="bullet"/>
      <w:lvlText w:val="-"/>
      <w:lvlJc w:val="left"/>
      <w:pPr>
        <w:tabs>
          <w:tab w:val="num" w:pos="720"/>
        </w:tabs>
        <w:ind w:left="720" w:hanging="360"/>
      </w:pPr>
      <w:rPr>
        <w:rFonts w:ascii="Aptos" w:hAnsi="Aptos"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47119"/>
    <w:multiLevelType w:val="hybridMultilevel"/>
    <w:tmpl w:val="4C96925A"/>
    <w:lvl w:ilvl="0" w:tplc="0D6A15AA">
      <w:numFmt w:val="bullet"/>
      <w:lvlText w:val=""/>
      <w:lvlJc w:val="left"/>
      <w:pPr>
        <w:ind w:left="666" w:hanging="567"/>
      </w:pPr>
      <w:rPr>
        <w:rFonts w:ascii="Symbol" w:eastAsia="Symbol" w:hAnsi="Symbol" w:cs="Symbol" w:hint="default"/>
        <w:b w:val="0"/>
        <w:bCs w:val="0"/>
        <w:i w:val="0"/>
        <w:iCs w:val="0"/>
        <w:spacing w:val="0"/>
        <w:w w:val="100"/>
        <w:sz w:val="18"/>
        <w:szCs w:val="18"/>
        <w:lang w:val="en-US" w:eastAsia="en-US" w:bidi="ar-SA"/>
      </w:rPr>
    </w:lvl>
    <w:lvl w:ilvl="1" w:tplc="839673D2">
      <w:numFmt w:val="bullet"/>
      <w:lvlText w:val="•"/>
      <w:lvlJc w:val="left"/>
      <w:pPr>
        <w:ind w:left="1506" w:hanging="567"/>
      </w:pPr>
      <w:rPr>
        <w:rFonts w:hint="default"/>
        <w:lang w:val="en-US" w:eastAsia="en-US" w:bidi="ar-SA"/>
      </w:rPr>
    </w:lvl>
    <w:lvl w:ilvl="2" w:tplc="A3D4687C">
      <w:numFmt w:val="bullet"/>
      <w:lvlText w:val="•"/>
      <w:lvlJc w:val="left"/>
      <w:pPr>
        <w:ind w:left="2353" w:hanging="567"/>
      </w:pPr>
      <w:rPr>
        <w:rFonts w:hint="default"/>
        <w:lang w:val="en-US" w:eastAsia="en-US" w:bidi="ar-SA"/>
      </w:rPr>
    </w:lvl>
    <w:lvl w:ilvl="3" w:tplc="C8BEA072">
      <w:numFmt w:val="bullet"/>
      <w:lvlText w:val="•"/>
      <w:lvlJc w:val="left"/>
      <w:pPr>
        <w:ind w:left="3199" w:hanging="567"/>
      </w:pPr>
      <w:rPr>
        <w:rFonts w:hint="default"/>
        <w:lang w:val="en-US" w:eastAsia="en-US" w:bidi="ar-SA"/>
      </w:rPr>
    </w:lvl>
    <w:lvl w:ilvl="4" w:tplc="B90A2FFE">
      <w:numFmt w:val="bullet"/>
      <w:lvlText w:val="•"/>
      <w:lvlJc w:val="left"/>
      <w:pPr>
        <w:ind w:left="4046" w:hanging="567"/>
      </w:pPr>
      <w:rPr>
        <w:rFonts w:hint="default"/>
        <w:lang w:val="en-US" w:eastAsia="en-US" w:bidi="ar-SA"/>
      </w:rPr>
    </w:lvl>
    <w:lvl w:ilvl="5" w:tplc="AFEEBDC2">
      <w:numFmt w:val="bullet"/>
      <w:lvlText w:val="•"/>
      <w:lvlJc w:val="left"/>
      <w:pPr>
        <w:ind w:left="4893" w:hanging="567"/>
      </w:pPr>
      <w:rPr>
        <w:rFonts w:hint="default"/>
        <w:lang w:val="en-US" w:eastAsia="en-US" w:bidi="ar-SA"/>
      </w:rPr>
    </w:lvl>
    <w:lvl w:ilvl="6" w:tplc="65ECA246">
      <w:numFmt w:val="bullet"/>
      <w:lvlText w:val="•"/>
      <w:lvlJc w:val="left"/>
      <w:pPr>
        <w:ind w:left="5739" w:hanging="567"/>
      </w:pPr>
      <w:rPr>
        <w:rFonts w:hint="default"/>
        <w:lang w:val="en-US" w:eastAsia="en-US" w:bidi="ar-SA"/>
      </w:rPr>
    </w:lvl>
    <w:lvl w:ilvl="7" w:tplc="0952F89A">
      <w:numFmt w:val="bullet"/>
      <w:lvlText w:val="•"/>
      <w:lvlJc w:val="left"/>
      <w:pPr>
        <w:ind w:left="6586" w:hanging="567"/>
      </w:pPr>
      <w:rPr>
        <w:rFonts w:hint="default"/>
        <w:lang w:val="en-US" w:eastAsia="en-US" w:bidi="ar-SA"/>
      </w:rPr>
    </w:lvl>
    <w:lvl w:ilvl="8" w:tplc="CFA6ABEC">
      <w:numFmt w:val="bullet"/>
      <w:lvlText w:val="•"/>
      <w:lvlJc w:val="left"/>
      <w:pPr>
        <w:ind w:left="7433" w:hanging="567"/>
      </w:pPr>
      <w:rPr>
        <w:rFonts w:hint="default"/>
        <w:lang w:val="en-US" w:eastAsia="en-US" w:bidi="ar-SA"/>
      </w:rPr>
    </w:lvl>
  </w:abstractNum>
  <w:abstractNum w:abstractNumId="13" w15:restartNumberingAfterBreak="0">
    <w:nsid w:val="2CE455E8"/>
    <w:multiLevelType w:val="multilevel"/>
    <w:tmpl w:val="E72C406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16" w15:restartNumberingAfterBreak="0">
    <w:nsid w:val="3DAA759F"/>
    <w:multiLevelType w:val="multilevel"/>
    <w:tmpl w:val="59D4A8E2"/>
    <w:numStyleLink w:val="Cijfers"/>
  </w:abstractNum>
  <w:abstractNum w:abstractNumId="17" w15:restartNumberingAfterBreak="0">
    <w:nsid w:val="3F764C75"/>
    <w:multiLevelType w:val="multilevel"/>
    <w:tmpl w:val="68121924"/>
    <w:numStyleLink w:val="Koppenlijst"/>
  </w:abstractNum>
  <w:abstractNum w:abstractNumId="18"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DC71CFD"/>
    <w:multiLevelType w:val="hybridMultilevel"/>
    <w:tmpl w:val="BF4C6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BA301D"/>
    <w:multiLevelType w:val="multilevel"/>
    <w:tmpl w:val="E4A2D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751C5"/>
    <w:multiLevelType w:val="multilevel"/>
    <w:tmpl w:val="7E2492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5C40CA6"/>
    <w:multiLevelType w:val="multilevel"/>
    <w:tmpl w:val="D5D29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D2ADD"/>
    <w:multiLevelType w:val="hybridMultilevel"/>
    <w:tmpl w:val="A6D6F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833653"/>
    <w:multiLevelType w:val="hybridMultilevel"/>
    <w:tmpl w:val="73FAD6C6"/>
    <w:lvl w:ilvl="0" w:tplc="CF9C325C">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5752D"/>
    <w:multiLevelType w:val="multilevel"/>
    <w:tmpl w:val="A15CC90A"/>
    <w:lvl w:ilvl="0">
      <w:start w:val="1"/>
      <w:numFmt w:val="decimal"/>
      <w:lvlText w:val="%1."/>
      <w:lvlJc w:val="left"/>
      <w:pPr>
        <w:ind w:left="397" w:hanging="397"/>
      </w:pPr>
      <w:rPr>
        <w:rFonts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26" w15:restartNumberingAfterBreak="0">
    <w:nsid w:val="6F696C13"/>
    <w:multiLevelType w:val="hybridMultilevel"/>
    <w:tmpl w:val="C6C274F2"/>
    <w:lvl w:ilvl="0" w:tplc="A2AE6492">
      <w:start w:val="3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F81A9B"/>
    <w:multiLevelType w:val="multilevel"/>
    <w:tmpl w:val="68121924"/>
    <w:styleLink w:val="Koppenlijst"/>
    <w:lvl w:ilvl="0">
      <w:start w:val="1"/>
      <w:numFmt w:val="decimal"/>
      <w:pStyle w:val="Heading1"/>
      <w:lvlText w:val="%1."/>
      <w:lvlJc w:val="left"/>
      <w:pPr>
        <w:ind w:left="794" w:hanging="794"/>
      </w:pPr>
      <w:rPr>
        <w:rFonts w:asciiTheme="majorHAnsi" w:hAnsiTheme="majorHAnsi" w:hint="default"/>
      </w:rPr>
    </w:lvl>
    <w:lvl w:ilvl="1">
      <w:start w:val="1"/>
      <w:numFmt w:val="decimal"/>
      <w:pStyle w:val="Heading2"/>
      <w:lvlText w:val="%1.%2"/>
      <w:lvlJc w:val="left"/>
      <w:pPr>
        <w:ind w:left="794" w:hanging="794"/>
      </w:pPr>
      <w:rPr>
        <w:rFonts w:asciiTheme="majorHAnsi" w:hAnsiTheme="majorHAnsi" w:hint="default"/>
      </w:rPr>
    </w:lvl>
    <w:lvl w:ilvl="2">
      <w:start w:val="1"/>
      <w:numFmt w:val="decimal"/>
      <w:pStyle w:val="Heading3"/>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28" w15:restartNumberingAfterBreak="0">
    <w:nsid w:val="757565FE"/>
    <w:multiLevelType w:val="hybridMultilevel"/>
    <w:tmpl w:val="A6D6F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EA66F7"/>
    <w:multiLevelType w:val="multilevel"/>
    <w:tmpl w:val="7A686760"/>
    <w:lvl w:ilvl="0">
      <w:start w:val="1"/>
      <w:numFmt w:val="decimal"/>
      <w:pStyle w:val="KopBijlage"/>
      <w:lvlText w:val="Appendix %1"/>
      <w:lvlJc w:val="left"/>
      <w:pPr>
        <w:ind w:left="54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0" w15:restartNumberingAfterBreak="0">
    <w:nsid w:val="7A8A4D4A"/>
    <w:multiLevelType w:val="hybridMultilevel"/>
    <w:tmpl w:val="C8B086EE"/>
    <w:lvl w:ilvl="0" w:tplc="415490B0">
      <w:start w:val="1"/>
      <w:numFmt w:val="bullet"/>
      <w:lvlText w:val="-"/>
      <w:lvlJc w:val="left"/>
      <w:pPr>
        <w:ind w:left="774" w:hanging="360"/>
      </w:pPr>
      <w:rPr>
        <w:rFonts w:ascii="Aptos" w:hAnsi="Apto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80263649">
    <w:abstractNumId w:val="3"/>
  </w:num>
  <w:num w:numId="2" w16cid:durableId="424227514">
    <w:abstractNumId w:val="8"/>
  </w:num>
  <w:num w:numId="3" w16cid:durableId="1243250502">
    <w:abstractNumId w:val="8"/>
  </w:num>
  <w:num w:numId="4" w16cid:durableId="616104099">
    <w:abstractNumId w:val="1"/>
  </w:num>
  <w:num w:numId="5" w16cid:durableId="557207167">
    <w:abstractNumId w:val="16"/>
  </w:num>
  <w:num w:numId="6" w16cid:durableId="1271474752">
    <w:abstractNumId w:val="15"/>
  </w:num>
  <w:num w:numId="7" w16cid:durableId="185218025">
    <w:abstractNumId w:val="15"/>
  </w:num>
  <w:num w:numId="8" w16cid:durableId="801267783">
    <w:abstractNumId w:val="15"/>
  </w:num>
  <w:num w:numId="9" w16cid:durableId="1096902998">
    <w:abstractNumId w:val="27"/>
  </w:num>
  <w:num w:numId="10" w16cid:durableId="610670841">
    <w:abstractNumId w:val="8"/>
  </w:num>
  <w:num w:numId="11" w16cid:durableId="49766568">
    <w:abstractNumId w:val="16"/>
  </w:num>
  <w:num w:numId="12" w16cid:durableId="20323767">
    <w:abstractNumId w:val="17"/>
  </w:num>
  <w:num w:numId="13" w16cid:durableId="36973620">
    <w:abstractNumId w:val="4"/>
  </w:num>
  <w:num w:numId="14" w16cid:durableId="398480499">
    <w:abstractNumId w:val="31"/>
  </w:num>
  <w:num w:numId="15" w16cid:durableId="80413668">
    <w:abstractNumId w:val="0"/>
  </w:num>
  <w:num w:numId="16" w16cid:durableId="1157040786">
    <w:abstractNumId w:val="14"/>
  </w:num>
  <w:num w:numId="17" w16cid:durableId="19089233">
    <w:abstractNumId w:val="10"/>
  </w:num>
  <w:num w:numId="18" w16cid:durableId="2075929641">
    <w:abstractNumId w:val="18"/>
  </w:num>
  <w:num w:numId="19" w16cid:durableId="86385517">
    <w:abstractNumId w:val="25"/>
  </w:num>
  <w:num w:numId="20" w16cid:durableId="1820724575">
    <w:abstractNumId w:val="29"/>
  </w:num>
  <w:num w:numId="21" w16cid:durableId="520751034">
    <w:abstractNumId w:val="6"/>
  </w:num>
  <w:num w:numId="22" w16cid:durableId="1761173567">
    <w:abstractNumId w:val="19"/>
  </w:num>
  <w:num w:numId="23" w16cid:durableId="1381437034">
    <w:abstractNumId w:val="2"/>
  </w:num>
  <w:num w:numId="24" w16cid:durableId="39715408">
    <w:abstractNumId w:val="11"/>
  </w:num>
  <w:num w:numId="25" w16cid:durableId="713164355">
    <w:abstractNumId w:val="5"/>
  </w:num>
  <w:num w:numId="26" w16cid:durableId="1526671241">
    <w:abstractNumId w:val="12"/>
  </w:num>
  <w:num w:numId="27" w16cid:durableId="1071192446">
    <w:abstractNumId w:val="9"/>
  </w:num>
  <w:num w:numId="28" w16cid:durableId="1678119569">
    <w:abstractNumId w:val="23"/>
  </w:num>
  <w:num w:numId="29" w16cid:durableId="1111322253">
    <w:abstractNumId w:val="24"/>
  </w:num>
  <w:num w:numId="30" w16cid:durableId="2140609697">
    <w:abstractNumId w:val="30"/>
  </w:num>
  <w:num w:numId="31" w16cid:durableId="418063084">
    <w:abstractNumId w:val="28"/>
  </w:num>
  <w:num w:numId="32" w16cid:durableId="343627226">
    <w:abstractNumId w:val="26"/>
  </w:num>
  <w:num w:numId="33" w16cid:durableId="532425021">
    <w:abstractNumId w:val="22"/>
  </w:num>
  <w:num w:numId="34" w16cid:durableId="1172642811">
    <w:abstractNumId w:val="7"/>
  </w:num>
  <w:num w:numId="35" w16cid:durableId="747072781">
    <w:abstractNumId w:val="20"/>
  </w:num>
  <w:num w:numId="36" w16cid:durableId="2139489147">
    <w:abstractNumId w:val="21"/>
  </w:num>
  <w:num w:numId="37" w16cid:durableId="1541504730">
    <w:abstractNumId w:val="13"/>
  </w:num>
  <w:num w:numId="38" w16cid:durableId="2048336400">
    <w:abstractNumId w:val="4"/>
  </w:num>
  <w:num w:numId="39" w16cid:durableId="1498308193">
    <w:abstractNumId w:val="4"/>
  </w:num>
  <w:num w:numId="40" w16cid:durableId="2030334277">
    <w:abstractNumId w:val="4"/>
  </w:num>
  <w:num w:numId="41" w16cid:durableId="1091317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3F"/>
    <w:rsid w:val="000169C7"/>
    <w:rsid w:val="00026820"/>
    <w:rsid w:val="00027F66"/>
    <w:rsid w:val="00034E8B"/>
    <w:rsid w:val="0004480A"/>
    <w:rsid w:val="00047BCE"/>
    <w:rsid w:val="0005570D"/>
    <w:rsid w:val="00084E8D"/>
    <w:rsid w:val="000872F8"/>
    <w:rsid w:val="00095EF6"/>
    <w:rsid w:val="00097EC6"/>
    <w:rsid w:val="00097EFF"/>
    <w:rsid w:val="000A593B"/>
    <w:rsid w:val="000A6151"/>
    <w:rsid w:val="000B6330"/>
    <w:rsid w:val="000C1D84"/>
    <w:rsid w:val="000C6CF3"/>
    <w:rsid w:val="000D0B3D"/>
    <w:rsid w:val="000D5E60"/>
    <w:rsid w:val="00103799"/>
    <w:rsid w:val="00110854"/>
    <w:rsid w:val="0011530D"/>
    <w:rsid w:val="00120260"/>
    <w:rsid w:val="00120522"/>
    <w:rsid w:val="00124D7C"/>
    <w:rsid w:val="00126D1A"/>
    <w:rsid w:val="001319F1"/>
    <w:rsid w:val="00134ACF"/>
    <w:rsid w:val="00166385"/>
    <w:rsid w:val="001825EF"/>
    <w:rsid w:val="00196567"/>
    <w:rsid w:val="0019678B"/>
    <w:rsid w:val="001A0DA8"/>
    <w:rsid w:val="001A7B88"/>
    <w:rsid w:val="001B723F"/>
    <w:rsid w:val="001C59FA"/>
    <w:rsid w:val="001C77A0"/>
    <w:rsid w:val="001D0E91"/>
    <w:rsid w:val="001D2C6E"/>
    <w:rsid w:val="001E0B09"/>
    <w:rsid w:val="001E6468"/>
    <w:rsid w:val="001F2D0F"/>
    <w:rsid w:val="001F3E27"/>
    <w:rsid w:val="00203B61"/>
    <w:rsid w:val="00212940"/>
    <w:rsid w:val="00214B35"/>
    <w:rsid w:val="00226AC0"/>
    <w:rsid w:val="002338CE"/>
    <w:rsid w:val="00233F7F"/>
    <w:rsid w:val="00235071"/>
    <w:rsid w:val="0024094E"/>
    <w:rsid w:val="002419DA"/>
    <w:rsid w:val="00245C6F"/>
    <w:rsid w:val="002503B1"/>
    <w:rsid w:val="00252135"/>
    <w:rsid w:val="00257511"/>
    <w:rsid w:val="00261107"/>
    <w:rsid w:val="00261FF8"/>
    <w:rsid w:val="002653CF"/>
    <w:rsid w:val="0027109B"/>
    <w:rsid w:val="00286D5D"/>
    <w:rsid w:val="00294F85"/>
    <w:rsid w:val="00295AFC"/>
    <w:rsid w:val="002B463B"/>
    <w:rsid w:val="002C26C1"/>
    <w:rsid w:val="002C6D87"/>
    <w:rsid w:val="002E09EE"/>
    <w:rsid w:val="002F028C"/>
    <w:rsid w:val="002F4714"/>
    <w:rsid w:val="003122DA"/>
    <w:rsid w:val="00315481"/>
    <w:rsid w:val="00317699"/>
    <w:rsid w:val="00327827"/>
    <w:rsid w:val="003475BB"/>
    <w:rsid w:val="00353F68"/>
    <w:rsid w:val="00354A63"/>
    <w:rsid w:val="00372C5F"/>
    <w:rsid w:val="00383CCC"/>
    <w:rsid w:val="00383FF6"/>
    <w:rsid w:val="00385D08"/>
    <w:rsid w:val="003B1310"/>
    <w:rsid w:val="003B3233"/>
    <w:rsid w:val="003C505A"/>
    <w:rsid w:val="003D2D0F"/>
    <w:rsid w:val="003E4D5D"/>
    <w:rsid w:val="003E7D58"/>
    <w:rsid w:val="00403D0A"/>
    <w:rsid w:val="004041E8"/>
    <w:rsid w:val="0040707E"/>
    <w:rsid w:val="00407B20"/>
    <w:rsid w:val="004123DB"/>
    <w:rsid w:val="00417C8A"/>
    <w:rsid w:val="00427B77"/>
    <w:rsid w:val="00430E6A"/>
    <w:rsid w:val="00450B24"/>
    <w:rsid w:val="00462E14"/>
    <w:rsid w:val="00471148"/>
    <w:rsid w:val="00480A6C"/>
    <w:rsid w:val="0048475B"/>
    <w:rsid w:val="004A40CC"/>
    <w:rsid w:val="004C698B"/>
    <w:rsid w:val="004D085B"/>
    <w:rsid w:val="004D3D38"/>
    <w:rsid w:val="004D40B5"/>
    <w:rsid w:val="004E781B"/>
    <w:rsid w:val="004F1E46"/>
    <w:rsid w:val="004F6807"/>
    <w:rsid w:val="005010BE"/>
    <w:rsid w:val="00505024"/>
    <w:rsid w:val="00505A92"/>
    <w:rsid w:val="005065DA"/>
    <w:rsid w:val="00507412"/>
    <w:rsid w:val="0051284D"/>
    <w:rsid w:val="005240ED"/>
    <w:rsid w:val="00527D40"/>
    <w:rsid w:val="005334BE"/>
    <w:rsid w:val="005348ED"/>
    <w:rsid w:val="00535B8C"/>
    <w:rsid w:val="00537E34"/>
    <w:rsid w:val="00543A1D"/>
    <w:rsid w:val="00544883"/>
    <w:rsid w:val="00544A1E"/>
    <w:rsid w:val="00546EB3"/>
    <w:rsid w:val="005479D8"/>
    <w:rsid w:val="005535B1"/>
    <w:rsid w:val="0055708B"/>
    <w:rsid w:val="0056777F"/>
    <w:rsid w:val="00572973"/>
    <w:rsid w:val="00581D13"/>
    <w:rsid w:val="00587E07"/>
    <w:rsid w:val="00591004"/>
    <w:rsid w:val="0059325B"/>
    <w:rsid w:val="005A0C7A"/>
    <w:rsid w:val="005A4275"/>
    <w:rsid w:val="005B4F41"/>
    <w:rsid w:val="005D5AAC"/>
    <w:rsid w:val="005D5D88"/>
    <w:rsid w:val="005E2D8A"/>
    <w:rsid w:val="005F1140"/>
    <w:rsid w:val="005F5B01"/>
    <w:rsid w:val="006042F1"/>
    <w:rsid w:val="0060454A"/>
    <w:rsid w:val="0060794F"/>
    <w:rsid w:val="00610A43"/>
    <w:rsid w:val="006200EB"/>
    <w:rsid w:val="0062728B"/>
    <w:rsid w:val="0062747F"/>
    <w:rsid w:val="006342F8"/>
    <w:rsid w:val="0063549F"/>
    <w:rsid w:val="00636967"/>
    <w:rsid w:val="00643C89"/>
    <w:rsid w:val="006506DB"/>
    <w:rsid w:val="00651608"/>
    <w:rsid w:val="00665CC6"/>
    <w:rsid w:val="00670D5B"/>
    <w:rsid w:val="00671C3D"/>
    <w:rsid w:val="006A159E"/>
    <w:rsid w:val="006B3671"/>
    <w:rsid w:val="006B682F"/>
    <w:rsid w:val="006C37D9"/>
    <w:rsid w:val="006C759B"/>
    <w:rsid w:val="006D2A26"/>
    <w:rsid w:val="006D6C32"/>
    <w:rsid w:val="006F1C31"/>
    <w:rsid w:val="006F63E5"/>
    <w:rsid w:val="00701A94"/>
    <w:rsid w:val="00712989"/>
    <w:rsid w:val="0071649B"/>
    <w:rsid w:val="007220DD"/>
    <w:rsid w:val="007371B1"/>
    <w:rsid w:val="007475EB"/>
    <w:rsid w:val="00756A29"/>
    <w:rsid w:val="00774FFE"/>
    <w:rsid w:val="007754D0"/>
    <w:rsid w:val="0077727D"/>
    <w:rsid w:val="007818F6"/>
    <w:rsid w:val="00785273"/>
    <w:rsid w:val="00786100"/>
    <w:rsid w:val="007B1205"/>
    <w:rsid w:val="007D0821"/>
    <w:rsid w:val="007E35C9"/>
    <w:rsid w:val="007F2C73"/>
    <w:rsid w:val="007F4FFE"/>
    <w:rsid w:val="007F5639"/>
    <w:rsid w:val="00800A2D"/>
    <w:rsid w:val="008032F7"/>
    <w:rsid w:val="00810CA0"/>
    <w:rsid w:val="008156F5"/>
    <w:rsid w:val="00824AC2"/>
    <w:rsid w:val="00841899"/>
    <w:rsid w:val="00843476"/>
    <w:rsid w:val="00844479"/>
    <w:rsid w:val="00845714"/>
    <w:rsid w:val="008459C2"/>
    <w:rsid w:val="00860C0B"/>
    <w:rsid w:val="00861BF7"/>
    <w:rsid w:val="00874CAE"/>
    <w:rsid w:val="008809DD"/>
    <w:rsid w:val="00887956"/>
    <w:rsid w:val="00890D2A"/>
    <w:rsid w:val="008A4639"/>
    <w:rsid w:val="008A7C0E"/>
    <w:rsid w:val="008C66A4"/>
    <w:rsid w:val="008F0106"/>
    <w:rsid w:val="00902DAF"/>
    <w:rsid w:val="00912BE9"/>
    <w:rsid w:val="00920F6F"/>
    <w:rsid w:val="00926C7D"/>
    <w:rsid w:val="00930E33"/>
    <w:rsid w:val="009310AC"/>
    <w:rsid w:val="009328ED"/>
    <w:rsid w:val="00932B0D"/>
    <w:rsid w:val="009428A9"/>
    <w:rsid w:val="00956CC5"/>
    <w:rsid w:val="009614B5"/>
    <w:rsid w:val="00961627"/>
    <w:rsid w:val="00961C13"/>
    <w:rsid w:val="00972933"/>
    <w:rsid w:val="00975D3E"/>
    <w:rsid w:val="00987E38"/>
    <w:rsid w:val="009B5D1F"/>
    <w:rsid w:val="009C384B"/>
    <w:rsid w:val="009C504F"/>
    <w:rsid w:val="009D6E48"/>
    <w:rsid w:val="009E53D6"/>
    <w:rsid w:val="009F0619"/>
    <w:rsid w:val="00A01EE9"/>
    <w:rsid w:val="00A06C4F"/>
    <w:rsid w:val="00A129D5"/>
    <w:rsid w:val="00A15EF7"/>
    <w:rsid w:val="00A21DF8"/>
    <w:rsid w:val="00A36379"/>
    <w:rsid w:val="00A4544F"/>
    <w:rsid w:val="00A5069D"/>
    <w:rsid w:val="00A57726"/>
    <w:rsid w:val="00A642E3"/>
    <w:rsid w:val="00A643F2"/>
    <w:rsid w:val="00A7010A"/>
    <w:rsid w:val="00A72C1F"/>
    <w:rsid w:val="00A86E40"/>
    <w:rsid w:val="00A95A6E"/>
    <w:rsid w:val="00A9666A"/>
    <w:rsid w:val="00AA025D"/>
    <w:rsid w:val="00AA0A90"/>
    <w:rsid w:val="00AA0CD5"/>
    <w:rsid w:val="00AA2CA5"/>
    <w:rsid w:val="00AB3598"/>
    <w:rsid w:val="00AB467B"/>
    <w:rsid w:val="00AB66D0"/>
    <w:rsid w:val="00AD0FDA"/>
    <w:rsid w:val="00AE68AF"/>
    <w:rsid w:val="00B13A98"/>
    <w:rsid w:val="00B17D3C"/>
    <w:rsid w:val="00B474F8"/>
    <w:rsid w:val="00B50715"/>
    <w:rsid w:val="00B52245"/>
    <w:rsid w:val="00B54689"/>
    <w:rsid w:val="00B5698C"/>
    <w:rsid w:val="00B56DB5"/>
    <w:rsid w:val="00B5756A"/>
    <w:rsid w:val="00B6020D"/>
    <w:rsid w:val="00B71D50"/>
    <w:rsid w:val="00B74D53"/>
    <w:rsid w:val="00BA20E8"/>
    <w:rsid w:val="00BD6943"/>
    <w:rsid w:val="00BE0D0E"/>
    <w:rsid w:val="00BE50F5"/>
    <w:rsid w:val="00BF3CFA"/>
    <w:rsid w:val="00C0238D"/>
    <w:rsid w:val="00C02F25"/>
    <w:rsid w:val="00C03734"/>
    <w:rsid w:val="00C11CC4"/>
    <w:rsid w:val="00C320AE"/>
    <w:rsid w:val="00C33C01"/>
    <w:rsid w:val="00C53687"/>
    <w:rsid w:val="00C61953"/>
    <w:rsid w:val="00C719A3"/>
    <w:rsid w:val="00C90299"/>
    <w:rsid w:val="00C90720"/>
    <w:rsid w:val="00CA533E"/>
    <w:rsid w:val="00CC750F"/>
    <w:rsid w:val="00CD0194"/>
    <w:rsid w:val="00CD09FB"/>
    <w:rsid w:val="00CD35D9"/>
    <w:rsid w:val="00CE197A"/>
    <w:rsid w:val="00CF1539"/>
    <w:rsid w:val="00D033AE"/>
    <w:rsid w:val="00D15D7C"/>
    <w:rsid w:val="00D16820"/>
    <w:rsid w:val="00D41F6D"/>
    <w:rsid w:val="00D458A5"/>
    <w:rsid w:val="00D47B2D"/>
    <w:rsid w:val="00D501AA"/>
    <w:rsid w:val="00D51CF4"/>
    <w:rsid w:val="00D529F4"/>
    <w:rsid w:val="00D53F60"/>
    <w:rsid w:val="00D55AC8"/>
    <w:rsid w:val="00D62110"/>
    <w:rsid w:val="00D628DB"/>
    <w:rsid w:val="00D63B5A"/>
    <w:rsid w:val="00D745D9"/>
    <w:rsid w:val="00D80A25"/>
    <w:rsid w:val="00D914DF"/>
    <w:rsid w:val="00DA190F"/>
    <w:rsid w:val="00DA5503"/>
    <w:rsid w:val="00DB12BD"/>
    <w:rsid w:val="00DD3B4C"/>
    <w:rsid w:val="00DE1E31"/>
    <w:rsid w:val="00DFD565"/>
    <w:rsid w:val="00E01E2F"/>
    <w:rsid w:val="00E121DE"/>
    <w:rsid w:val="00E15C48"/>
    <w:rsid w:val="00E21B49"/>
    <w:rsid w:val="00E22358"/>
    <w:rsid w:val="00E26BBE"/>
    <w:rsid w:val="00E304EC"/>
    <w:rsid w:val="00E43991"/>
    <w:rsid w:val="00E455C3"/>
    <w:rsid w:val="00E57492"/>
    <w:rsid w:val="00E61098"/>
    <w:rsid w:val="00E64330"/>
    <w:rsid w:val="00E64BC8"/>
    <w:rsid w:val="00E6666C"/>
    <w:rsid w:val="00E710F3"/>
    <w:rsid w:val="00E721B9"/>
    <w:rsid w:val="00E90442"/>
    <w:rsid w:val="00E947ED"/>
    <w:rsid w:val="00E968DA"/>
    <w:rsid w:val="00E97455"/>
    <w:rsid w:val="00E97AE4"/>
    <w:rsid w:val="00EA0043"/>
    <w:rsid w:val="00EA6C37"/>
    <w:rsid w:val="00EB706C"/>
    <w:rsid w:val="00EC1AC5"/>
    <w:rsid w:val="00EC1BE6"/>
    <w:rsid w:val="00EC77CB"/>
    <w:rsid w:val="00EC79D3"/>
    <w:rsid w:val="00ED6956"/>
    <w:rsid w:val="00EE46C3"/>
    <w:rsid w:val="00EE5329"/>
    <w:rsid w:val="00EF1E5D"/>
    <w:rsid w:val="00EF1E8E"/>
    <w:rsid w:val="00F01654"/>
    <w:rsid w:val="00F0798C"/>
    <w:rsid w:val="00F14AAB"/>
    <w:rsid w:val="00F2244F"/>
    <w:rsid w:val="00F24F92"/>
    <w:rsid w:val="00F34AB2"/>
    <w:rsid w:val="00F35E29"/>
    <w:rsid w:val="00F63542"/>
    <w:rsid w:val="00F8080C"/>
    <w:rsid w:val="00F84AC7"/>
    <w:rsid w:val="00F8564F"/>
    <w:rsid w:val="00F92144"/>
    <w:rsid w:val="00F95197"/>
    <w:rsid w:val="00FA4334"/>
    <w:rsid w:val="00FE0EBB"/>
    <w:rsid w:val="00FE0FEB"/>
    <w:rsid w:val="00FE3443"/>
    <w:rsid w:val="00FF00F4"/>
    <w:rsid w:val="00FF6546"/>
    <w:rsid w:val="01692534"/>
    <w:rsid w:val="01CF25E7"/>
    <w:rsid w:val="03F70AB9"/>
    <w:rsid w:val="061DBD5A"/>
    <w:rsid w:val="0653554C"/>
    <w:rsid w:val="07BFFDA4"/>
    <w:rsid w:val="096960CD"/>
    <w:rsid w:val="098B627F"/>
    <w:rsid w:val="0AF80864"/>
    <w:rsid w:val="0CB5F956"/>
    <w:rsid w:val="0E2A230F"/>
    <w:rsid w:val="0E4E576F"/>
    <w:rsid w:val="0EFFE58E"/>
    <w:rsid w:val="0FA8242F"/>
    <w:rsid w:val="113F31C9"/>
    <w:rsid w:val="15D5C31C"/>
    <w:rsid w:val="1619EFE4"/>
    <w:rsid w:val="189A3839"/>
    <w:rsid w:val="19479ED0"/>
    <w:rsid w:val="1BED1D86"/>
    <w:rsid w:val="1E33FB22"/>
    <w:rsid w:val="1EFD6F9E"/>
    <w:rsid w:val="1FD92A05"/>
    <w:rsid w:val="20B0B61C"/>
    <w:rsid w:val="211C8A1A"/>
    <w:rsid w:val="211F5497"/>
    <w:rsid w:val="213079D9"/>
    <w:rsid w:val="2171930C"/>
    <w:rsid w:val="21838ABB"/>
    <w:rsid w:val="2327C91C"/>
    <w:rsid w:val="291F6A00"/>
    <w:rsid w:val="2B108A7A"/>
    <w:rsid w:val="2B70E771"/>
    <w:rsid w:val="2BD5C67B"/>
    <w:rsid w:val="2C174AF2"/>
    <w:rsid w:val="2C737AB3"/>
    <w:rsid w:val="2F40C1C1"/>
    <w:rsid w:val="31E9C077"/>
    <w:rsid w:val="320929BE"/>
    <w:rsid w:val="35855C64"/>
    <w:rsid w:val="3C1AF83B"/>
    <w:rsid w:val="3C30CFF5"/>
    <w:rsid w:val="3E570754"/>
    <w:rsid w:val="3E8DADA6"/>
    <w:rsid w:val="3F330763"/>
    <w:rsid w:val="404AF92D"/>
    <w:rsid w:val="406FACE3"/>
    <w:rsid w:val="40F824EF"/>
    <w:rsid w:val="413344CA"/>
    <w:rsid w:val="4483CE89"/>
    <w:rsid w:val="44D50E1B"/>
    <w:rsid w:val="4644FE60"/>
    <w:rsid w:val="46C394B6"/>
    <w:rsid w:val="470F33F9"/>
    <w:rsid w:val="483EC66D"/>
    <w:rsid w:val="48EBEC75"/>
    <w:rsid w:val="4AE732B1"/>
    <w:rsid w:val="4C36D2A2"/>
    <w:rsid w:val="4C542EA1"/>
    <w:rsid w:val="5149B0A9"/>
    <w:rsid w:val="52C339F6"/>
    <w:rsid w:val="5377584A"/>
    <w:rsid w:val="539A57D1"/>
    <w:rsid w:val="53D585B4"/>
    <w:rsid w:val="54E1E2D4"/>
    <w:rsid w:val="55201992"/>
    <w:rsid w:val="5745FF9D"/>
    <w:rsid w:val="5AF603C3"/>
    <w:rsid w:val="5B9D1457"/>
    <w:rsid w:val="5D749AAB"/>
    <w:rsid w:val="5FF85742"/>
    <w:rsid w:val="61838F24"/>
    <w:rsid w:val="61FD517E"/>
    <w:rsid w:val="635E0C84"/>
    <w:rsid w:val="681163D5"/>
    <w:rsid w:val="68A811B0"/>
    <w:rsid w:val="69798EB6"/>
    <w:rsid w:val="6DE09E70"/>
    <w:rsid w:val="6DF04CC8"/>
    <w:rsid w:val="6E1C343C"/>
    <w:rsid w:val="6F106D83"/>
    <w:rsid w:val="6F8D13FA"/>
    <w:rsid w:val="6FA6778E"/>
    <w:rsid w:val="7091FC1E"/>
    <w:rsid w:val="71D19BD8"/>
    <w:rsid w:val="73AC04A7"/>
    <w:rsid w:val="7501C823"/>
    <w:rsid w:val="7548D290"/>
    <w:rsid w:val="759110ED"/>
    <w:rsid w:val="76BD2FA7"/>
    <w:rsid w:val="78A06973"/>
    <w:rsid w:val="78A3A334"/>
    <w:rsid w:val="78DBB6EB"/>
    <w:rsid w:val="78DEF0B5"/>
    <w:rsid w:val="7C68313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90A8E"/>
  <w15:chartTrackingRefBased/>
  <w15:docId w15:val="{677BD505-BE6F-450B-8C1C-1CCA29BD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3F"/>
    <w:pPr>
      <w:spacing w:line="240" w:lineRule="auto"/>
    </w:pPr>
    <w:rPr>
      <w:rFonts w:ascii="Verdana" w:hAnsi="Verdana" w:cs="Times New Roman"/>
      <w:sz w:val="18"/>
      <w:szCs w:val="24"/>
      <w:lang w:val="en-GB" w:eastAsia="en-GB"/>
    </w:rPr>
  </w:style>
  <w:style w:type="paragraph" w:styleId="Heading1">
    <w:name w:val="heading 1"/>
    <w:aliases w:val="H1"/>
    <w:basedOn w:val="Normal"/>
    <w:next w:val="Normal"/>
    <w:link w:val="Heading1Char"/>
    <w:uiPriority w:val="3"/>
    <w:qFormat/>
    <w:rsid w:val="00F63542"/>
    <w:pPr>
      <w:keepNext/>
      <w:keepLines/>
      <w:numPr>
        <w:numId w:val="13"/>
      </w:numPr>
      <w:spacing w:before="270" w:after="270"/>
      <w:outlineLvl w:val="0"/>
    </w:pPr>
    <w:rPr>
      <w:rFonts w:asciiTheme="majorHAnsi" w:eastAsia="Times New Roman" w:hAnsiTheme="majorHAnsi"/>
      <w:b/>
      <w:sz w:val="28"/>
    </w:rPr>
  </w:style>
  <w:style w:type="paragraph" w:styleId="Heading2">
    <w:name w:val="heading 2"/>
    <w:aliases w:val="H2"/>
    <w:basedOn w:val="Heading1"/>
    <w:next w:val="Normal"/>
    <w:link w:val="Heading2Char"/>
    <w:uiPriority w:val="3"/>
    <w:qFormat/>
    <w:rsid w:val="001E6468"/>
    <w:pPr>
      <w:numPr>
        <w:ilvl w:val="1"/>
      </w:numPr>
      <w:spacing w:after="0"/>
      <w:outlineLvl w:val="1"/>
    </w:pPr>
    <w:rPr>
      <w:sz w:val="24"/>
    </w:rPr>
  </w:style>
  <w:style w:type="paragraph" w:styleId="Heading3">
    <w:name w:val="heading 3"/>
    <w:aliases w:val="H3"/>
    <w:basedOn w:val="Heading1"/>
    <w:next w:val="Normal"/>
    <w:link w:val="Heading3Char"/>
    <w:uiPriority w:val="3"/>
    <w:qFormat/>
    <w:rsid w:val="001E6468"/>
    <w:pPr>
      <w:numPr>
        <w:ilvl w:val="2"/>
      </w:num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semiHidden/>
    <w:unhideWhenUsed/>
    <w:rsid w:val="001B723F"/>
    <w:pPr>
      <w:keepNext/>
      <w:keepLines/>
      <w:spacing w:before="80" w:after="40"/>
      <w:outlineLvl w:val="4"/>
    </w:pPr>
    <w:rPr>
      <w:rFonts w:eastAsiaTheme="majorEastAsia" w:cstheme="majorBidi"/>
      <w:color w:val="1188A9" w:themeColor="accent1" w:themeShade="BF"/>
    </w:rPr>
  </w:style>
  <w:style w:type="paragraph" w:styleId="Heading6">
    <w:name w:val="heading 6"/>
    <w:basedOn w:val="Normal"/>
    <w:next w:val="Normal"/>
    <w:link w:val="Heading6Char"/>
    <w:uiPriority w:val="9"/>
    <w:semiHidden/>
    <w:unhideWhenUsed/>
    <w:qFormat/>
    <w:rsid w:val="001B72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2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2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2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Cs w:val="18"/>
    </w:rPr>
  </w:style>
  <w:style w:type="numbering" w:customStyle="1" w:styleId="Bullets">
    <w:name w:val="Bullets"/>
    <w:uiPriority w:val="99"/>
    <w:rsid w:val="003B3233"/>
    <w:pPr>
      <w:numPr>
        <w:numId w:val="2"/>
      </w:numPr>
    </w:pPr>
  </w:style>
  <w:style w:type="paragraph" w:customStyle="1" w:styleId="Listbullets">
    <w:name w:val="List bullets"/>
    <w:basedOn w:val="Normal"/>
    <w:uiPriority w:val="2"/>
    <w:qFormat/>
    <w:rsid w:val="003B3233"/>
    <w:pPr>
      <w:numPr>
        <w:numId w:val="10"/>
      </w:numPr>
    </w:pPr>
  </w:style>
  <w:style w:type="numbering" w:customStyle="1" w:styleId="Cijfers">
    <w:name w:val="Cijfers"/>
    <w:uiPriority w:val="99"/>
    <w:rsid w:val="003B3233"/>
    <w:pPr>
      <w:numPr>
        <w:numId w:val="4"/>
      </w:numPr>
    </w:pPr>
  </w:style>
  <w:style w:type="paragraph" w:customStyle="1" w:styleId="ListNumbers">
    <w:name w:val="List Numbers"/>
    <w:basedOn w:val="Normal"/>
    <w:uiPriority w:val="2"/>
    <w:qFormat/>
    <w:rsid w:val="003B3233"/>
    <w:pPr>
      <w:numPr>
        <w:numId w:val="11"/>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b/>
      <w:noProof/>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F6354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9"/>
      </w:numPr>
    </w:pPr>
  </w:style>
  <w:style w:type="paragraph" w:styleId="Title">
    <w:name w:val="Title"/>
    <w:basedOn w:val="Normal"/>
    <w:next w:val="Normal"/>
    <w:link w:val="TitleChar"/>
    <w:uiPriority w:val="10"/>
    <w:qFormat/>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uiPriority w:val="5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08FCC"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numPr>
        <w:numId w:val="0"/>
      </w:numPr>
      <w:spacing w:befor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aliases w:val="Citation List,본문(내용),List Paragraph (numbered (a)),Colorful List - Accent 11,heading 6,List Paragraph1"/>
    <w:basedOn w:val="Normal"/>
    <w:link w:val="ListParagraphChar"/>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eastAsia="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character" w:customStyle="1" w:styleId="Heading5Char">
    <w:name w:val="Heading 5 Char"/>
    <w:basedOn w:val="DefaultParagraphFont"/>
    <w:link w:val="Heading5"/>
    <w:uiPriority w:val="9"/>
    <w:semiHidden/>
    <w:rsid w:val="001B723F"/>
    <w:rPr>
      <w:rFonts w:eastAsiaTheme="majorEastAsia" w:cstheme="majorBidi"/>
      <w:color w:val="1188A9" w:themeColor="accent1" w:themeShade="BF"/>
      <w:sz w:val="21"/>
      <w:lang w:val="en-GB"/>
    </w:rPr>
  </w:style>
  <w:style w:type="character" w:customStyle="1" w:styleId="Heading6Char">
    <w:name w:val="Heading 6 Char"/>
    <w:basedOn w:val="DefaultParagraphFont"/>
    <w:link w:val="Heading6"/>
    <w:uiPriority w:val="9"/>
    <w:semiHidden/>
    <w:rsid w:val="001B723F"/>
    <w:rPr>
      <w:rFonts w:eastAsiaTheme="majorEastAsia" w:cstheme="majorBidi"/>
      <w:i/>
      <w:iCs/>
      <w:color w:val="595959" w:themeColor="text1" w:themeTint="A6"/>
      <w:sz w:val="21"/>
      <w:lang w:val="en-GB"/>
    </w:rPr>
  </w:style>
  <w:style w:type="character" w:customStyle="1" w:styleId="Heading7Char">
    <w:name w:val="Heading 7 Char"/>
    <w:basedOn w:val="DefaultParagraphFont"/>
    <w:link w:val="Heading7"/>
    <w:uiPriority w:val="9"/>
    <w:semiHidden/>
    <w:rsid w:val="001B723F"/>
    <w:rPr>
      <w:rFonts w:eastAsiaTheme="majorEastAsia" w:cstheme="majorBidi"/>
      <w:color w:val="595959" w:themeColor="text1" w:themeTint="A6"/>
      <w:sz w:val="21"/>
      <w:lang w:val="en-GB"/>
    </w:rPr>
  </w:style>
  <w:style w:type="character" w:customStyle="1" w:styleId="Heading8Char">
    <w:name w:val="Heading 8 Char"/>
    <w:basedOn w:val="DefaultParagraphFont"/>
    <w:link w:val="Heading8"/>
    <w:uiPriority w:val="9"/>
    <w:semiHidden/>
    <w:rsid w:val="001B723F"/>
    <w:rPr>
      <w:rFonts w:eastAsiaTheme="majorEastAsia" w:cstheme="majorBidi"/>
      <w:i/>
      <w:iCs/>
      <w:color w:val="272727" w:themeColor="text1" w:themeTint="D8"/>
      <w:sz w:val="21"/>
      <w:lang w:val="en-GB"/>
    </w:rPr>
  </w:style>
  <w:style w:type="character" w:customStyle="1" w:styleId="Heading9Char">
    <w:name w:val="Heading 9 Char"/>
    <w:basedOn w:val="DefaultParagraphFont"/>
    <w:link w:val="Heading9"/>
    <w:uiPriority w:val="9"/>
    <w:semiHidden/>
    <w:rsid w:val="001B723F"/>
    <w:rPr>
      <w:rFonts w:eastAsiaTheme="majorEastAsia" w:cstheme="majorBidi"/>
      <w:color w:val="272727" w:themeColor="text1" w:themeTint="D8"/>
      <w:sz w:val="21"/>
      <w:lang w:val="en-GB"/>
    </w:rPr>
  </w:style>
  <w:style w:type="paragraph" w:styleId="Subtitle">
    <w:name w:val="Subtitle"/>
    <w:basedOn w:val="Normal"/>
    <w:next w:val="Normal"/>
    <w:link w:val="SubtitleChar"/>
    <w:uiPriority w:val="11"/>
    <w:rsid w:val="001B72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23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1B72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723F"/>
    <w:rPr>
      <w:i/>
      <w:iCs/>
      <w:color w:val="404040" w:themeColor="text1" w:themeTint="BF"/>
      <w:sz w:val="21"/>
      <w:lang w:val="en-GB"/>
    </w:rPr>
  </w:style>
  <w:style w:type="character" w:styleId="IntenseEmphasis">
    <w:name w:val="Intense Emphasis"/>
    <w:basedOn w:val="DefaultParagraphFont"/>
    <w:uiPriority w:val="21"/>
    <w:rsid w:val="001B723F"/>
    <w:rPr>
      <w:i/>
      <w:iCs/>
      <w:color w:val="1188A9" w:themeColor="accent1" w:themeShade="BF"/>
    </w:rPr>
  </w:style>
  <w:style w:type="paragraph" w:styleId="IntenseQuote">
    <w:name w:val="Intense Quote"/>
    <w:basedOn w:val="Normal"/>
    <w:next w:val="Normal"/>
    <w:link w:val="IntenseQuoteChar"/>
    <w:uiPriority w:val="30"/>
    <w:rsid w:val="001B723F"/>
    <w:pPr>
      <w:pBdr>
        <w:top w:val="single" w:sz="4" w:space="10" w:color="1188A9" w:themeColor="accent1" w:themeShade="BF"/>
        <w:bottom w:val="single" w:sz="4" w:space="10" w:color="1188A9" w:themeColor="accent1" w:themeShade="BF"/>
      </w:pBdr>
      <w:spacing w:before="360" w:after="360"/>
      <w:ind w:left="864" w:right="864"/>
      <w:jc w:val="center"/>
    </w:pPr>
    <w:rPr>
      <w:i/>
      <w:iCs/>
      <w:color w:val="1188A9" w:themeColor="accent1" w:themeShade="BF"/>
    </w:rPr>
  </w:style>
  <w:style w:type="character" w:customStyle="1" w:styleId="IntenseQuoteChar">
    <w:name w:val="Intense Quote Char"/>
    <w:basedOn w:val="DefaultParagraphFont"/>
    <w:link w:val="IntenseQuote"/>
    <w:uiPriority w:val="30"/>
    <w:rsid w:val="001B723F"/>
    <w:rPr>
      <w:i/>
      <w:iCs/>
      <w:color w:val="1188A9" w:themeColor="accent1" w:themeShade="BF"/>
      <w:sz w:val="21"/>
      <w:lang w:val="en-GB"/>
    </w:rPr>
  </w:style>
  <w:style w:type="character" w:styleId="IntenseReference">
    <w:name w:val="Intense Reference"/>
    <w:basedOn w:val="DefaultParagraphFont"/>
    <w:uiPriority w:val="32"/>
    <w:rsid w:val="001B723F"/>
    <w:rPr>
      <w:b/>
      <w:bCs/>
      <w:smallCaps/>
      <w:color w:val="1188A9" w:themeColor="accent1" w:themeShade="BF"/>
      <w:spacing w:val="5"/>
    </w:rPr>
  </w:style>
  <w:style w:type="paragraph" w:customStyle="1" w:styleId="Tussenkop">
    <w:name w:val="Tussenkop"/>
    <w:basedOn w:val="Heading4"/>
    <w:next w:val="Normal"/>
    <w:qFormat/>
    <w:rsid w:val="001B723F"/>
    <w:pPr>
      <w:pageBreakBefore w:val="0"/>
      <w:tabs>
        <w:tab w:val="left" w:pos="1134"/>
      </w:tabs>
      <w:spacing w:after="0" w:line="260" w:lineRule="exact"/>
    </w:pPr>
    <w:rPr>
      <w:rFonts w:ascii="Verdana" w:hAnsi="Verdana"/>
      <w:bCs/>
      <w:sz w:val="18"/>
      <w:szCs w:val="17"/>
    </w:rPr>
  </w:style>
  <w:style w:type="paragraph" w:customStyle="1" w:styleId="KopBijlage">
    <w:name w:val="Kop Bijlage"/>
    <w:basedOn w:val="Normal"/>
    <w:next w:val="Normal"/>
    <w:qFormat/>
    <w:rsid w:val="001B723F"/>
    <w:pPr>
      <w:pageBreakBefore/>
      <w:numPr>
        <w:numId w:val="20"/>
      </w:numPr>
      <w:tabs>
        <w:tab w:val="left" w:pos="2835"/>
      </w:tabs>
      <w:spacing w:after="1040" w:line="520" w:lineRule="exact"/>
    </w:pPr>
    <w:rPr>
      <w:rFonts w:eastAsia="Times New Roman"/>
      <w:sz w:val="40"/>
      <w:szCs w:val="40"/>
    </w:rPr>
  </w:style>
  <w:style w:type="character" w:customStyle="1" w:styleId="ListParagraphChar">
    <w:name w:val="List Paragraph Char"/>
    <w:aliases w:val="Citation List Char,본문(내용) Char,List Paragraph (numbered (a)) Char,Colorful List - Accent 11 Char,heading 6 Char,List Paragraph1 Char"/>
    <w:basedOn w:val="DefaultParagraphFont"/>
    <w:link w:val="ListParagraph"/>
    <w:uiPriority w:val="34"/>
    <w:rsid w:val="001B723F"/>
    <w:rPr>
      <w:rFonts w:ascii="Verdana" w:eastAsia="Times New Roman" w:hAnsi="Verdana" w:cs="Times New Roman"/>
      <w:sz w:val="17"/>
      <w:lang w:val="en-GB" w:eastAsia="nl-NL"/>
      <w14:ligatures w14:val="standardContextual"/>
    </w:rPr>
  </w:style>
  <w:style w:type="paragraph" w:styleId="Revision">
    <w:name w:val="Revision"/>
    <w:hidden/>
    <w:uiPriority w:val="99"/>
    <w:semiHidden/>
    <w:rsid w:val="00E57492"/>
    <w:pPr>
      <w:spacing w:line="240" w:lineRule="auto"/>
    </w:pPr>
    <w:rPr>
      <w:rFonts w:ascii="Verdana" w:hAnsi="Verdana" w:cs="Times New Roman"/>
      <w:sz w:val="18"/>
      <w:szCs w:val="24"/>
      <w:lang w:val="en-GB" w:eastAsia="en-GB"/>
    </w:rPr>
  </w:style>
  <w:style w:type="paragraph" w:styleId="BodyText">
    <w:name w:val="Body Text"/>
    <w:basedOn w:val="Normal"/>
    <w:link w:val="BodyTextChar"/>
    <w:uiPriority w:val="1"/>
    <w:qFormat/>
    <w:rsid w:val="00103799"/>
    <w:pPr>
      <w:widowControl w:val="0"/>
      <w:autoSpaceDE w:val="0"/>
      <w:autoSpaceDN w:val="0"/>
    </w:pPr>
    <w:rPr>
      <w:rFonts w:eastAsia="Verdana" w:cs="Verdana"/>
      <w:szCs w:val="18"/>
      <w:lang w:val="en-US" w:eastAsia="en-US"/>
    </w:rPr>
  </w:style>
  <w:style w:type="character" w:customStyle="1" w:styleId="BodyTextChar">
    <w:name w:val="Body Text Char"/>
    <w:basedOn w:val="DefaultParagraphFont"/>
    <w:link w:val="BodyText"/>
    <w:uiPriority w:val="1"/>
    <w:rsid w:val="00103799"/>
    <w:rPr>
      <w:rFonts w:ascii="Verdana" w:eastAsia="Verdana" w:hAnsi="Verdana" w:cs="Verdana"/>
      <w:sz w:val="18"/>
      <w:szCs w:val="18"/>
      <w:lang w:val="en-US"/>
    </w:rPr>
  </w:style>
  <w:style w:type="character" w:styleId="CommentReference">
    <w:name w:val="annotation reference"/>
    <w:basedOn w:val="DefaultParagraphFont"/>
    <w:uiPriority w:val="99"/>
    <w:semiHidden/>
    <w:unhideWhenUsed/>
    <w:rsid w:val="00800A2D"/>
    <w:rPr>
      <w:sz w:val="16"/>
      <w:szCs w:val="16"/>
    </w:rPr>
  </w:style>
  <w:style w:type="paragraph" w:styleId="CommentText">
    <w:name w:val="annotation text"/>
    <w:basedOn w:val="Normal"/>
    <w:link w:val="CommentTextChar"/>
    <w:uiPriority w:val="99"/>
    <w:unhideWhenUsed/>
    <w:rsid w:val="00800A2D"/>
    <w:pPr>
      <w:widowControl w:val="0"/>
      <w:autoSpaceDE w:val="0"/>
      <w:autoSpaceDN w:val="0"/>
    </w:pPr>
    <w:rPr>
      <w:rFonts w:eastAsia="Verdana" w:cs="Verdana"/>
      <w:sz w:val="20"/>
      <w:szCs w:val="20"/>
      <w:lang w:val="en-US" w:eastAsia="en-US"/>
    </w:rPr>
  </w:style>
  <w:style w:type="character" w:customStyle="1" w:styleId="CommentTextChar">
    <w:name w:val="Comment Text Char"/>
    <w:basedOn w:val="DefaultParagraphFont"/>
    <w:link w:val="CommentText"/>
    <w:uiPriority w:val="99"/>
    <w:rsid w:val="00800A2D"/>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447493">
      <w:bodyDiv w:val="1"/>
      <w:marLeft w:val="0"/>
      <w:marRight w:val="0"/>
      <w:marTop w:val="0"/>
      <w:marBottom w:val="0"/>
      <w:divBdr>
        <w:top w:val="none" w:sz="0" w:space="0" w:color="auto"/>
        <w:left w:val="none" w:sz="0" w:space="0" w:color="auto"/>
        <w:bottom w:val="none" w:sz="0" w:space="0" w:color="auto"/>
        <w:right w:val="none" w:sz="0" w:space="0" w:color="auto"/>
      </w:divBdr>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1773745050">
          <w:marLeft w:val="0"/>
          <w:marRight w:val="0"/>
          <w:marTop w:val="0"/>
          <w:marBottom w:val="0"/>
          <w:divBdr>
            <w:top w:val="none" w:sz="0" w:space="0" w:color="auto"/>
            <w:left w:val="none" w:sz="0" w:space="0" w:color="auto"/>
            <w:bottom w:val="none" w:sz="0" w:space="0" w:color="auto"/>
            <w:right w:val="none" w:sz="0" w:space="0" w:color="auto"/>
          </w:divBdr>
        </w:div>
        <w:div w:id="657540767">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mrtr.io/rMyF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enknowledge.fao.org/server/api/core/bitstreams/9a20e806-d8f3-4723-8914-1d999e822435/cont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SNVWord">
      <a:dk1>
        <a:srgbClr val="000000"/>
      </a:dk1>
      <a:lt1>
        <a:srgbClr val="FFFFFF"/>
      </a:lt1>
      <a:dk2>
        <a:srgbClr val="375380"/>
      </a:dk2>
      <a:lt2>
        <a:srgbClr val="EFF8FE"/>
      </a:lt2>
      <a:accent1>
        <a:srgbClr val="17B7E3"/>
      </a:accent1>
      <a:accent2>
        <a:srgbClr val="008FCC"/>
      </a:accent2>
      <a:accent3>
        <a:srgbClr val="FFCC66"/>
      </a:accent3>
      <a:accent4>
        <a:srgbClr val="E8777B"/>
      </a:accent4>
      <a:accent5>
        <a:srgbClr val="97C9AA"/>
      </a:accent5>
      <a:accent6>
        <a:srgbClr val="F6E8D7"/>
      </a:accent6>
      <a:hlink>
        <a:srgbClr val="008FCC"/>
      </a:hlink>
      <a:folHlink>
        <a:srgbClr val="008FCC"/>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d7329dd-438a-4558-bb02-8c32828ba005" ContentTypeId="0x0101" PreviousValue="false" LastSyncTimeStamp="2015-08-26T14:02:58.683Z"/>
</file>

<file path=customXml/item3.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1c6111e-db33-4955-a8fd-de624ffbfc24">
      <Terms xmlns="http://schemas.microsoft.com/office/infopath/2007/PartnerControls"/>
    </lcf76f155ced4ddcb4097134ff3c332f>
    <PublishedtoOurSNV xmlns="51c6111e-db33-4955-a8fd-de624ffbfc24">
      <Url xsi:nil="true"/>
      <Description xsi:nil="true"/>
    </PublishedtoOurSNV>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156AEAB2E12C04C838F7AEAB36C8AB2" ma:contentTypeVersion="12" ma:contentTypeDescription="Create a new document." ma:contentTypeScope="" ma:versionID="2278aafbe569d5cdda475e764543c286">
  <xsd:schema xmlns:xsd="http://www.w3.org/2001/XMLSchema" xmlns:xs="http://www.w3.org/2001/XMLSchema" xmlns:p="http://schemas.microsoft.com/office/2006/metadata/properties" xmlns:ns2="51c6111e-db33-4955-a8fd-de624ffbfc24" xmlns:ns3="e387ade4-6730-4aab-9d7a-b895e19528e3" targetNamespace="http://schemas.microsoft.com/office/2006/metadata/properties" ma:root="true" ma:fieldsID="211a560c91ee95c2b1a7d333d2d365ff" ns2:_="" ns3:_="">
    <xsd:import namespace="51c6111e-db33-4955-a8fd-de624ffbfc24"/>
    <xsd:import namespace="e387ade4-6730-4aab-9d7a-b895e19528e3"/>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111e-db33-4955-a8fd-de624ffbfc24"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8514a1-121e-4fa6-8c7d-98f8f7a2c274}" ma:internalName="TaxCatchAll" ma:showField="CatchAllData" ma:web="34ae09bd-8baf-4a78-a5dd-03523e07f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2F2DB-EC0D-4A01-864B-820B1B172A06}">
  <ds:schemaRefs>
    <ds:schemaRef ds:uri="http://schemas.microsoft.com/sharepoint/v3/contenttype/forms"/>
  </ds:schemaRefs>
</ds:datastoreItem>
</file>

<file path=customXml/itemProps2.xml><?xml version="1.0" encoding="utf-8"?>
<ds:datastoreItem xmlns:ds="http://schemas.openxmlformats.org/officeDocument/2006/customXml" ds:itemID="{CA317FBA-76E2-41FC-BC46-977F3AB2A1AA}">
  <ds:schemaRefs>
    <ds:schemaRef ds:uri="Microsoft.SharePoint.Taxonomy.ContentTypeSync"/>
  </ds:schemaRefs>
</ds:datastoreItem>
</file>

<file path=customXml/itemProps3.xml><?xml version="1.0" encoding="utf-8"?>
<ds:datastoreItem xmlns:ds="http://schemas.openxmlformats.org/officeDocument/2006/customXml" ds:itemID="{A6A8DDF6-B456-4A93-8C68-8F4E6FBD3849}">
  <ds:schemaRefs>
    <ds:schemaRef ds:uri="http://schemas.microsoft.com/office/2006/metadata/properties"/>
    <ds:schemaRef ds:uri="http://schemas.microsoft.com/office/infopath/2007/PartnerControls"/>
    <ds:schemaRef ds:uri="5ef14ded-ab7a-4c6b-8c0d-eed1fa4c9c90"/>
    <ds:schemaRef ds:uri="e387ade4-6730-4aab-9d7a-b895e19528e3"/>
    <ds:schemaRef ds:uri="51c6111e-db33-4955-a8fd-de624ffbfc24"/>
  </ds:schemaRefs>
</ds:datastoreItem>
</file>

<file path=customXml/itemProps4.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5.xml><?xml version="1.0" encoding="utf-8"?>
<ds:datastoreItem xmlns:ds="http://schemas.openxmlformats.org/officeDocument/2006/customXml" ds:itemID="{7F6B6DAF-3D10-4965-8C7E-DD00F1E4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111e-db33-4955-a8fd-de624ffbfc24"/>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1838</Words>
  <Characters>11387</Characters>
  <Application>Microsoft Office Word</Application>
  <DocSecurity>0</DocSecurity>
  <Lines>258</Lines>
  <Paragraphs>136</Paragraphs>
  <ScaleCrop>false</ScaleCrop>
  <Company>SNV Netherlands Development Organisation</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 Berfu</dc:creator>
  <cp:keywords/>
  <dc:description/>
  <cp:lastModifiedBy>Saysouk, Natdaly</cp:lastModifiedBy>
  <cp:revision>4</cp:revision>
  <dcterms:created xsi:type="dcterms:W3CDTF">2025-06-04T06:59:00Z</dcterms:created>
  <dcterms:modified xsi:type="dcterms:W3CDTF">2025-06-11T03:43:00Z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0x010100B156AEAB2E12C04C838F7AEAB36C8AB2</vt:lpwstr>
  </property>
  <property fmtid="{D5CDD505-2E9C-101B-9397-08002B2CF9AE}" pid="3" name="Procedure">
    <vt:lpwstr/>
  </property>
  <property fmtid="{D5CDD505-2E9C-101B-9397-08002B2CF9AE}" pid="4" name="MediaServiceImageTags">
    <vt:lpwstr/>
  </property>
  <property fmtid="{D5CDD505-2E9C-101B-9397-08002B2CF9AE}" pid="5" name="Country">
    <vt:lpwstr/>
  </property>
  <property fmtid="{D5CDD505-2E9C-101B-9397-08002B2CF9AE}" pid="6" name="Policy-area">
    <vt:lpwstr/>
  </property>
  <property fmtid="{D5CDD505-2E9C-101B-9397-08002B2CF9AE}" pid="7" name="TaxCatchAll">
    <vt:lpwstr/>
  </property>
  <property fmtid="{D5CDD505-2E9C-101B-9397-08002B2CF9AE}" pid="8" name="Policy_x002d_area">
    <vt:lpwstr/>
  </property>
  <property fmtid="{D5CDD505-2E9C-101B-9397-08002B2CF9AE}" pid="9" name="GrammarlyDocumentId">
    <vt:lpwstr>e40fe11a-b313-4dcb-b5e4-9ec22e935abb</vt:lpwstr>
  </property>
</Properties>
</file>